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720" w:rsidRPr="00780011" w:rsidRDefault="00C75D32" w:rsidP="0049065F">
      <w:pPr>
        <w:rPr>
          <w:sz w:val="19"/>
          <w:szCs w:val="19"/>
        </w:rPr>
      </w:pPr>
      <w:r w:rsidRPr="00780011">
        <w:rPr>
          <w:sz w:val="19"/>
          <w:szCs w:val="19"/>
        </w:rPr>
        <w:t xml:space="preserve"> </w:t>
      </w:r>
    </w:p>
    <w:p w:rsidR="00641598" w:rsidRPr="00780011" w:rsidRDefault="00AB3032" w:rsidP="0049065F">
      <w:pPr>
        <w:rPr>
          <w:sz w:val="19"/>
          <w:szCs w:val="19"/>
        </w:rPr>
      </w:pPr>
      <w:r>
        <w:rPr>
          <w:sz w:val="19"/>
          <w:szCs w:val="19"/>
        </w:rPr>
        <w:t>July 6</w:t>
      </w:r>
      <w:r w:rsidR="003B2189" w:rsidRPr="00780011">
        <w:rPr>
          <w:sz w:val="19"/>
          <w:szCs w:val="19"/>
        </w:rPr>
        <w:t>, 2017</w:t>
      </w:r>
    </w:p>
    <w:p w:rsidR="007966AD" w:rsidRPr="00780011" w:rsidRDefault="007966AD" w:rsidP="0049065F">
      <w:pPr>
        <w:rPr>
          <w:sz w:val="19"/>
          <w:szCs w:val="19"/>
        </w:rPr>
      </w:pPr>
    </w:p>
    <w:p w:rsidR="007966AD" w:rsidRPr="00780011" w:rsidRDefault="003D1C46" w:rsidP="0049065F">
      <w:pPr>
        <w:rPr>
          <w:b/>
          <w:sz w:val="19"/>
          <w:szCs w:val="19"/>
        </w:rPr>
      </w:pPr>
      <w:r w:rsidRPr="00780011">
        <w:rPr>
          <w:b/>
          <w:sz w:val="19"/>
          <w:szCs w:val="19"/>
        </w:rPr>
        <w:t>Via Fax: 780-422-4127 / Original to Follow</w:t>
      </w:r>
    </w:p>
    <w:p w:rsidR="00641598" w:rsidRPr="00780011" w:rsidRDefault="00641598" w:rsidP="0049065F">
      <w:pPr>
        <w:rPr>
          <w:sz w:val="19"/>
          <w:szCs w:val="19"/>
        </w:rPr>
      </w:pPr>
    </w:p>
    <w:p w:rsidR="00641598" w:rsidRPr="00780011" w:rsidRDefault="00C36DB0" w:rsidP="0049065F">
      <w:pPr>
        <w:rPr>
          <w:sz w:val="19"/>
          <w:szCs w:val="19"/>
        </w:rPr>
      </w:pPr>
      <w:r w:rsidRPr="00780011">
        <w:rPr>
          <w:sz w:val="19"/>
          <w:szCs w:val="19"/>
        </w:rPr>
        <w:t xml:space="preserve">The Honourable Chief </w:t>
      </w:r>
      <w:r w:rsidR="00641598" w:rsidRPr="00780011">
        <w:rPr>
          <w:sz w:val="19"/>
          <w:szCs w:val="19"/>
        </w:rPr>
        <w:t>Justice Catherine Fraser</w:t>
      </w:r>
    </w:p>
    <w:p w:rsidR="007966AD" w:rsidRPr="00780011" w:rsidRDefault="007966AD" w:rsidP="00590039">
      <w:pPr>
        <w:widowControl w:val="0"/>
        <w:autoSpaceDE w:val="0"/>
        <w:autoSpaceDN w:val="0"/>
        <w:adjustRightInd w:val="0"/>
        <w:rPr>
          <w:rFonts w:cs="Verdana"/>
          <w:sz w:val="19"/>
          <w:szCs w:val="19"/>
          <w:lang w:val="en-US"/>
        </w:rPr>
      </w:pPr>
      <w:r w:rsidRPr="00780011">
        <w:rPr>
          <w:rFonts w:cs="Verdana"/>
          <w:sz w:val="19"/>
          <w:szCs w:val="19"/>
          <w:lang w:val="en-US"/>
        </w:rPr>
        <w:t>Law Courts</w:t>
      </w:r>
    </w:p>
    <w:p w:rsidR="007966AD" w:rsidRPr="00780011" w:rsidRDefault="007966AD" w:rsidP="00590039">
      <w:pPr>
        <w:widowControl w:val="0"/>
        <w:autoSpaceDE w:val="0"/>
        <w:autoSpaceDN w:val="0"/>
        <w:adjustRightInd w:val="0"/>
        <w:rPr>
          <w:rFonts w:cs="Verdana"/>
          <w:sz w:val="19"/>
          <w:szCs w:val="19"/>
          <w:lang w:val="en-US"/>
        </w:rPr>
      </w:pPr>
      <w:r w:rsidRPr="00780011">
        <w:rPr>
          <w:rFonts w:cs="Verdana"/>
          <w:sz w:val="19"/>
          <w:szCs w:val="19"/>
          <w:lang w:val="en-US"/>
        </w:rPr>
        <w:t>1A Sir Winston Churchill Square</w:t>
      </w:r>
    </w:p>
    <w:p w:rsidR="007966AD" w:rsidRPr="00780011" w:rsidRDefault="007966AD" w:rsidP="00590039">
      <w:pPr>
        <w:widowControl w:val="0"/>
        <w:autoSpaceDE w:val="0"/>
        <w:autoSpaceDN w:val="0"/>
        <w:adjustRightInd w:val="0"/>
        <w:rPr>
          <w:rFonts w:cs="Verdana"/>
          <w:sz w:val="19"/>
          <w:szCs w:val="19"/>
          <w:lang w:val="en-US"/>
        </w:rPr>
      </w:pPr>
      <w:r w:rsidRPr="00780011">
        <w:rPr>
          <w:rFonts w:cs="Verdana"/>
          <w:sz w:val="19"/>
          <w:szCs w:val="19"/>
          <w:lang w:val="en-US"/>
        </w:rPr>
        <w:t>Edmonton, AB T5J 0R2</w:t>
      </w:r>
    </w:p>
    <w:p w:rsidR="007966AD" w:rsidRPr="00780011" w:rsidRDefault="007966AD" w:rsidP="0049065F">
      <w:pPr>
        <w:rPr>
          <w:sz w:val="19"/>
          <w:szCs w:val="19"/>
        </w:rPr>
      </w:pPr>
    </w:p>
    <w:p w:rsidR="007966AD" w:rsidRPr="00780011" w:rsidRDefault="000345E0" w:rsidP="0049065F">
      <w:pPr>
        <w:rPr>
          <w:sz w:val="19"/>
          <w:szCs w:val="19"/>
        </w:rPr>
      </w:pPr>
      <w:r w:rsidRPr="00780011">
        <w:rPr>
          <w:sz w:val="19"/>
          <w:szCs w:val="19"/>
        </w:rPr>
        <w:t xml:space="preserve">Dear Chief </w:t>
      </w:r>
      <w:r w:rsidR="007966AD" w:rsidRPr="00780011">
        <w:rPr>
          <w:sz w:val="19"/>
          <w:szCs w:val="19"/>
        </w:rPr>
        <w:t>Justice</w:t>
      </w:r>
      <w:r w:rsidR="007F56A4">
        <w:rPr>
          <w:sz w:val="19"/>
          <w:szCs w:val="19"/>
        </w:rPr>
        <w:t xml:space="preserve"> Fraser:</w:t>
      </w:r>
      <w:r w:rsidR="005C47B8" w:rsidRPr="00780011">
        <w:rPr>
          <w:sz w:val="19"/>
          <w:szCs w:val="19"/>
        </w:rPr>
        <w:t xml:space="preserve"> </w:t>
      </w:r>
    </w:p>
    <w:p w:rsidR="00D246C6" w:rsidRPr="00780011" w:rsidRDefault="00D246C6" w:rsidP="0049065F">
      <w:pPr>
        <w:rPr>
          <w:sz w:val="19"/>
          <w:szCs w:val="19"/>
        </w:rPr>
      </w:pPr>
    </w:p>
    <w:p w:rsidR="00D246C6" w:rsidRPr="00780011" w:rsidRDefault="00D246C6" w:rsidP="0049065F">
      <w:pPr>
        <w:rPr>
          <w:b/>
          <w:sz w:val="19"/>
          <w:szCs w:val="19"/>
        </w:rPr>
      </w:pPr>
      <w:r w:rsidRPr="00780011">
        <w:rPr>
          <w:b/>
          <w:sz w:val="19"/>
          <w:szCs w:val="19"/>
        </w:rPr>
        <w:t>Re</w:t>
      </w:r>
      <w:r w:rsidR="009C5D44" w:rsidRPr="00780011">
        <w:rPr>
          <w:b/>
          <w:sz w:val="19"/>
          <w:szCs w:val="19"/>
        </w:rPr>
        <w:t>:</w:t>
      </w:r>
      <w:r w:rsidR="009C5D44" w:rsidRPr="00780011">
        <w:rPr>
          <w:b/>
          <w:sz w:val="19"/>
          <w:szCs w:val="19"/>
        </w:rPr>
        <w:tab/>
        <w:t xml:space="preserve">R v </w:t>
      </w:r>
      <w:r w:rsidR="00FC3842" w:rsidRPr="00780011">
        <w:rPr>
          <w:b/>
          <w:sz w:val="19"/>
          <w:szCs w:val="19"/>
        </w:rPr>
        <w:t>Barton</w:t>
      </w:r>
      <w:r w:rsidR="004A430F" w:rsidRPr="00780011">
        <w:rPr>
          <w:b/>
          <w:sz w:val="19"/>
          <w:szCs w:val="19"/>
        </w:rPr>
        <w:t>, 2017 ABCA 2</w:t>
      </w:r>
      <w:r w:rsidR="009C5D44" w:rsidRPr="00780011">
        <w:rPr>
          <w:b/>
          <w:sz w:val="19"/>
          <w:szCs w:val="19"/>
        </w:rPr>
        <w:t>16</w:t>
      </w:r>
    </w:p>
    <w:p w:rsidR="00D246C6" w:rsidRPr="00780011" w:rsidRDefault="00D246C6" w:rsidP="0049065F">
      <w:pPr>
        <w:rPr>
          <w:b/>
          <w:sz w:val="19"/>
          <w:szCs w:val="19"/>
        </w:rPr>
      </w:pPr>
      <w:r w:rsidRPr="00780011">
        <w:rPr>
          <w:b/>
          <w:sz w:val="19"/>
          <w:szCs w:val="19"/>
        </w:rPr>
        <w:tab/>
      </w:r>
    </w:p>
    <w:p w:rsidR="00D246C6" w:rsidRPr="00780011" w:rsidRDefault="00CC4EFF" w:rsidP="00D246C6">
      <w:pPr>
        <w:rPr>
          <w:b/>
          <w:sz w:val="19"/>
          <w:szCs w:val="19"/>
        </w:rPr>
      </w:pPr>
      <w:r>
        <w:rPr>
          <w:b/>
          <w:sz w:val="19"/>
          <w:szCs w:val="19"/>
        </w:rPr>
        <w:pict>
          <v:rect id="_x0000_i1025" style="width:0;height:1.5pt" o:hralign="center" o:hrstd="t" o:hr="t" fillcolor="#a0a0a0" stroked="f"/>
        </w:pict>
      </w:r>
    </w:p>
    <w:p w:rsidR="00E845E2" w:rsidRPr="00780011" w:rsidRDefault="00E845E2" w:rsidP="001944D8">
      <w:pPr>
        <w:rPr>
          <w:b/>
          <w:sz w:val="19"/>
          <w:szCs w:val="19"/>
        </w:rPr>
      </w:pPr>
    </w:p>
    <w:p w:rsidR="009C5D44" w:rsidRPr="00780011" w:rsidRDefault="00E845E2" w:rsidP="001944D8">
      <w:pPr>
        <w:rPr>
          <w:sz w:val="19"/>
          <w:szCs w:val="19"/>
        </w:rPr>
      </w:pPr>
      <w:r w:rsidRPr="00780011">
        <w:rPr>
          <w:sz w:val="19"/>
          <w:szCs w:val="19"/>
        </w:rPr>
        <w:t>I am writing to you for two reasons</w:t>
      </w:r>
      <w:r w:rsidR="007A53F2" w:rsidRPr="00780011">
        <w:rPr>
          <w:sz w:val="19"/>
          <w:szCs w:val="19"/>
        </w:rPr>
        <w:t>. First</w:t>
      </w:r>
      <w:r w:rsidR="00065A63" w:rsidRPr="00780011">
        <w:rPr>
          <w:sz w:val="19"/>
          <w:szCs w:val="19"/>
        </w:rPr>
        <w:t>,</w:t>
      </w:r>
      <w:r w:rsidRPr="00780011">
        <w:rPr>
          <w:sz w:val="19"/>
          <w:szCs w:val="19"/>
        </w:rPr>
        <w:t xml:space="preserve"> </w:t>
      </w:r>
      <w:r w:rsidR="004A430F" w:rsidRPr="00780011">
        <w:rPr>
          <w:sz w:val="19"/>
          <w:szCs w:val="19"/>
        </w:rPr>
        <w:t xml:space="preserve">I respectfully request </w:t>
      </w:r>
      <w:r w:rsidRPr="00780011">
        <w:rPr>
          <w:sz w:val="19"/>
          <w:szCs w:val="19"/>
        </w:rPr>
        <w:t xml:space="preserve">that the Court </w:t>
      </w:r>
      <w:r w:rsidR="00FD407B" w:rsidRPr="00780011">
        <w:rPr>
          <w:sz w:val="19"/>
          <w:szCs w:val="19"/>
        </w:rPr>
        <w:t>correct three</w:t>
      </w:r>
      <w:r w:rsidRPr="00780011">
        <w:rPr>
          <w:sz w:val="19"/>
          <w:szCs w:val="19"/>
        </w:rPr>
        <w:t xml:space="preserve"> errors in its Reasons for Judgement</w:t>
      </w:r>
      <w:r w:rsidR="004A430F" w:rsidRPr="00780011">
        <w:rPr>
          <w:sz w:val="19"/>
          <w:szCs w:val="19"/>
        </w:rPr>
        <w:t xml:space="preserve"> concerning my submissions </w:t>
      </w:r>
      <w:r w:rsidRPr="00780011">
        <w:rPr>
          <w:sz w:val="19"/>
          <w:szCs w:val="19"/>
        </w:rPr>
        <w:t>in this matter</w:t>
      </w:r>
      <w:r w:rsidR="007A53F2" w:rsidRPr="00780011">
        <w:rPr>
          <w:sz w:val="19"/>
          <w:szCs w:val="19"/>
        </w:rPr>
        <w:t>.  Second</w:t>
      </w:r>
      <w:r w:rsidRPr="00780011">
        <w:rPr>
          <w:sz w:val="19"/>
          <w:szCs w:val="19"/>
        </w:rPr>
        <w:t>, to seek your permission to obtain a transcript of the oral hearing</w:t>
      </w:r>
      <w:r w:rsidR="00AF0A8D" w:rsidRPr="00780011">
        <w:rPr>
          <w:sz w:val="19"/>
          <w:szCs w:val="19"/>
        </w:rPr>
        <w:t xml:space="preserve"> of this</w:t>
      </w:r>
      <w:r w:rsidR="005115D7" w:rsidRPr="00780011">
        <w:rPr>
          <w:sz w:val="19"/>
          <w:szCs w:val="19"/>
        </w:rPr>
        <w:t xml:space="preserve"> appeal</w:t>
      </w:r>
      <w:r w:rsidRPr="00780011">
        <w:rPr>
          <w:sz w:val="19"/>
          <w:szCs w:val="19"/>
        </w:rPr>
        <w:t xml:space="preserve"> which took place on </w:t>
      </w:r>
      <w:r w:rsidR="009C5D44" w:rsidRPr="00780011">
        <w:rPr>
          <w:sz w:val="19"/>
          <w:szCs w:val="19"/>
        </w:rPr>
        <w:t xml:space="preserve">September 6 and 7, 2016. </w:t>
      </w:r>
    </w:p>
    <w:p w:rsidR="00E845E2" w:rsidRPr="00780011" w:rsidRDefault="00E845E2" w:rsidP="001944D8">
      <w:pPr>
        <w:rPr>
          <w:sz w:val="19"/>
          <w:szCs w:val="19"/>
        </w:rPr>
      </w:pPr>
    </w:p>
    <w:p w:rsidR="00065A63" w:rsidRPr="00780011" w:rsidRDefault="00E845E2" w:rsidP="00AF229D">
      <w:pPr>
        <w:rPr>
          <w:sz w:val="19"/>
          <w:szCs w:val="19"/>
        </w:rPr>
      </w:pPr>
      <w:r w:rsidRPr="00780011">
        <w:rPr>
          <w:sz w:val="19"/>
          <w:szCs w:val="19"/>
        </w:rPr>
        <w:t>With respect</w:t>
      </w:r>
      <w:r w:rsidR="007A53F2" w:rsidRPr="00780011">
        <w:rPr>
          <w:sz w:val="19"/>
          <w:szCs w:val="19"/>
        </w:rPr>
        <w:t>,</w:t>
      </w:r>
      <w:r w:rsidRPr="00780011">
        <w:rPr>
          <w:sz w:val="19"/>
          <w:szCs w:val="19"/>
        </w:rPr>
        <w:t xml:space="preserve"> </w:t>
      </w:r>
      <w:r w:rsidR="007A53F2" w:rsidRPr="00780011">
        <w:rPr>
          <w:sz w:val="19"/>
          <w:szCs w:val="19"/>
        </w:rPr>
        <w:t>I note</w:t>
      </w:r>
      <w:r w:rsidR="00FD407B" w:rsidRPr="00780011">
        <w:rPr>
          <w:sz w:val="19"/>
          <w:szCs w:val="19"/>
        </w:rPr>
        <w:t xml:space="preserve"> the following</w:t>
      </w:r>
      <w:r w:rsidRPr="00780011">
        <w:rPr>
          <w:sz w:val="19"/>
          <w:szCs w:val="19"/>
        </w:rPr>
        <w:t xml:space="preserve"> </w:t>
      </w:r>
      <w:r w:rsidR="005115D7" w:rsidRPr="00780011">
        <w:rPr>
          <w:sz w:val="19"/>
          <w:szCs w:val="19"/>
        </w:rPr>
        <w:t xml:space="preserve">errors </w:t>
      </w:r>
      <w:r w:rsidRPr="00780011">
        <w:rPr>
          <w:sz w:val="19"/>
          <w:szCs w:val="19"/>
        </w:rPr>
        <w:t>related to my submissions before the Court</w:t>
      </w:r>
      <w:r w:rsidR="00FD407B" w:rsidRPr="00780011">
        <w:rPr>
          <w:sz w:val="19"/>
          <w:szCs w:val="19"/>
        </w:rPr>
        <w:t xml:space="preserve">: </w:t>
      </w:r>
    </w:p>
    <w:p w:rsidR="00065A63" w:rsidRPr="00780011" w:rsidRDefault="00065A63" w:rsidP="00065A63">
      <w:pPr>
        <w:ind w:left="360"/>
        <w:rPr>
          <w:sz w:val="19"/>
          <w:szCs w:val="19"/>
        </w:rPr>
      </w:pPr>
    </w:p>
    <w:p w:rsidR="00065A63" w:rsidRPr="00780011" w:rsidRDefault="00FD407B" w:rsidP="00065A63">
      <w:pPr>
        <w:ind w:left="360"/>
        <w:rPr>
          <w:sz w:val="19"/>
          <w:szCs w:val="19"/>
        </w:rPr>
      </w:pPr>
      <w:r w:rsidRPr="00780011">
        <w:rPr>
          <w:sz w:val="19"/>
          <w:szCs w:val="19"/>
        </w:rPr>
        <w:t xml:space="preserve">(1) At paragraph 260 the Court referred </w:t>
      </w:r>
      <w:r w:rsidR="00E845E2" w:rsidRPr="00780011">
        <w:rPr>
          <w:sz w:val="19"/>
          <w:szCs w:val="19"/>
        </w:rPr>
        <w:t>to my having said, “What’s a man to do” in the context of the Court describing an erroneous belief by some that “all women in Canada, single, married or in an intimate relationship, are walking around this country … in a state of continuous consent to sexual activity unless and until they say “no”. The reference to my having said, “What’s a man to do</w:t>
      </w:r>
      <w:r w:rsidR="00065A63" w:rsidRPr="00780011">
        <w:rPr>
          <w:sz w:val="19"/>
          <w:szCs w:val="19"/>
        </w:rPr>
        <w:t>,</w:t>
      </w:r>
      <w:r w:rsidR="00AF229D" w:rsidRPr="00780011">
        <w:rPr>
          <w:sz w:val="19"/>
          <w:szCs w:val="19"/>
        </w:rPr>
        <w:t xml:space="preserve">” in this context, and in furtherance of this erroneous belief, </w:t>
      </w:r>
      <w:r w:rsidR="00E845E2" w:rsidRPr="00780011">
        <w:rPr>
          <w:sz w:val="19"/>
          <w:szCs w:val="19"/>
        </w:rPr>
        <w:t xml:space="preserve">was completely inaccurate, and grossly unfair to me. </w:t>
      </w:r>
    </w:p>
    <w:p w:rsidR="00065A63" w:rsidRPr="00780011" w:rsidRDefault="00065A63" w:rsidP="00065A63">
      <w:pPr>
        <w:ind w:left="360"/>
        <w:rPr>
          <w:sz w:val="19"/>
          <w:szCs w:val="19"/>
        </w:rPr>
      </w:pPr>
    </w:p>
    <w:p w:rsidR="00E845E2" w:rsidRPr="00780011" w:rsidRDefault="00AF229D" w:rsidP="00065A63">
      <w:pPr>
        <w:ind w:left="360"/>
        <w:rPr>
          <w:sz w:val="19"/>
          <w:szCs w:val="19"/>
        </w:rPr>
      </w:pPr>
      <w:r w:rsidRPr="00780011">
        <w:rPr>
          <w:sz w:val="19"/>
          <w:szCs w:val="19"/>
        </w:rPr>
        <w:t xml:space="preserve">A </w:t>
      </w:r>
      <w:r w:rsidR="00F50661" w:rsidRPr="00780011">
        <w:rPr>
          <w:sz w:val="19"/>
          <w:szCs w:val="19"/>
        </w:rPr>
        <w:t>review of the audio recording or</w:t>
      </w:r>
      <w:r w:rsidRPr="00780011">
        <w:rPr>
          <w:sz w:val="19"/>
          <w:szCs w:val="19"/>
        </w:rPr>
        <w:t xml:space="preserve"> transcript will undoubtedly illustrate</w:t>
      </w:r>
      <w:r w:rsidR="00E845E2" w:rsidRPr="00780011">
        <w:rPr>
          <w:sz w:val="19"/>
          <w:szCs w:val="19"/>
        </w:rPr>
        <w:t xml:space="preserve"> that I made that commen</w:t>
      </w:r>
      <w:r w:rsidR="00065A63" w:rsidRPr="00780011">
        <w:rPr>
          <w:sz w:val="19"/>
          <w:szCs w:val="19"/>
        </w:rPr>
        <w:t>t during my submissions in answer</w:t>
      </w:r>
      <w:r w:rsidR="00E845E2" w:rsidRPr="00780011">
        <w:rPr>
          <w:sz w:val="19"/>
          <w:szCs w:val="19"/>
        </w:rPr>
        <w:t xml:space="preserve"> to a question from the panel concerning what reasonable steps Bradley Barton had taken to ascertain Cindy Gladue’s consent to the sexual activity in question. </w:t>
      </w:r>
      <w:r w:rsidRPr="00780011">
        <w:rPr>
          <w:sz w:val="19"/>
          <w:szCs w:val="19"/>
        </w:rPr>
        <w:t>I responded</w:t>
      </w:r>
      <w:r w:rsidR="00065A63" w:rsidRPr="00780011">
        <w:rPr>
          <w:sz w:val="19"/>
          <w:szCs w:val="19"/>
        </w:rPr>
        <w:t xml:space="preserve"> that </w:t>
      </w:r>
      <w:r w:rsidR="00FD407B" w:rsidRPr="00780011">
        <w:rPr>
          <w:sz w:val="19"/>
          <w:szCs w:val="19"/>
        </w:rPr>
        <w:t>Mr. Barton</w:t>
      </w:r>
      <w:r w:rsidR="00E845E2" w:rsidRPr="00780011">
        <w:rPr>
          <w:sz w:val="19"/>
          <w:szCs w:val="19"/>
        </w:rPr>
        <w:t xml:space="preserve"> had taken numerous reasonable steps in the circumstances known to him at the t</w:t>
      </w:r>
      <w:r w:rsidR="00FD407B" w:rsidRPr="00780011">
        <w:rPr>
          <w:sz w:val="19"/>
          <w:szCs w:val="19"/>
        </w:rPr>
        <w:t>ime and then listed them for the panel</w:t>
      </w:r>
      <w:r w:rsidR="00065A63" w:rsidRPr="00780011">
        <w:rPr>
          <w:sz w:val="19"/>
          <w:szCs w:val="19"/>
        </w:rPr>
        <w:t>. They</w:t>
      </w:r>
      <w:r w:rsidR="00E845E2" w:rsidRPr="00780011">
        <w:rPr>
          <w:sz w:val="19"/>
          <w:szCs w:val="19"/>
        </w:rPr>
        <w:t xml:space="preserve"> included a reference to not only that Ms. Gladue had consented to</w:t>
      </w:r>
      <w:r w:rsidR="007A53F2" w:rsidRPr="00780011">
        <w:rPr>
          <w:sz w:val="19"/>
          <w:szCs w:val="19"/>
        </w:rPr>
        <w:t xml:space="preserve"> very</w:t>
      </w:r>
      <w:r w:rsidR="00E845E2" w:rsidRPr="00780011">
        <w:rPr>
          <w:sz w:val="19"/>
          <w:szCs w:val="19"/>
        </w:rPr>
        <w:t xml:space="preserve"> similar sexual activity from the night before for a negotiated price of $60.00, but that on the night in question</w:t>
      </w:r>
      <w:r w:rsidR="004A430F" w:rsidRPr="00780011">
        <w:rPr>
          <w:sz w:val="19"/>
          <w:szCs w:val="19"/>
        </w:rPr>
        <w:t xml:space="preserve"> he observed</w:t>
      </w:r>
      <w:r w:rsidR="00065A63" w:rsidRPr="00780011">
        <w:rPr>
          <w:sz w:val="19"/>
          <w:szCs w:val="19"/>
        </w:rPr>
        <w:t>:</w:t>
      </w:r>
    </w:p>
    <w:p w:rsidR="00E845E2" w:rsidRPr="00780011" w:rsidRDefault="00E845E2" w:rsidP="001944D8">
      <w:pPr>
        <w:rPr>
          <w:sz w:val="19"/>
          <w:szCs w:val="19"/>
        </w:rPr>
      </w:pPr>
    </w:p>
    <w:p w:rsidR="00E845E2" w:rsidRPr="00780011" w:rsidRDefault="00E845E2" w:rsidP="00E845E2">
      <w:pPr>
        <w:pStyle w:val="ListParagraph"/>
        <w:numPr>
          <w:ilvl w:val="0"/>
          <w:numId w:val="14"/>
        </w:numPr>
        <w:rPr>
          <w:sz w:val="19"/>
          <w:szCs w:val="19"/>
        </w:rPr>
      </w:pPr>
      <w:r w:rsidRPr="00780011">
        <w:rPr>
          <w:sz w:val="19"/>
          <w:szCs w:val="19"/>
        </w:rPr>
        <w:t xml:space="preserve">Ms. Gladue </w:t>
      </w:r>
      <w:r w:rsidR="00065A63" w:rsidRPr="00780011">
        <w:rPr>
          <w:sz w:val="19"/>
          <w:szCs w:val="19"/>
        </w:rPr>
        <w:t>agreed to see Mr. Barton</w:t>
      </w:r>
      <w:r w:rsidRPr="00780011">
        <w:rPr>
          <w:sz w:val="19"/>
          <w:szCs w:val="19"/>
        </w:rPr>
        <w:t xml:space="preserve"> </w:t>
      </w:r>
      <w:r w:rsidR="007A53F2" w:rsidRPr="00780011">
        <w:rPr>
          <w:sz w:val="19"/>
          <w:szCs w:val="19"/>
        </w:rPr>
        <w:t xml:space="preserve">once again </w:t>
      </w:r>
      <w:r w:rsidRPr="00780011">
        <w:rPr>
          <w:sz w:val="19"/>
          <w:szCs w:val="19"/>
        </w:rPr>
        <w:t>on the evening of June 22</w:t>
      </w:r>
      <w:r w:rsidRPr="00780011">
        <w:rPr>
          <w:sz w:val="19"/>
          <w:szCs w:val="19"/>
          <w:vertAlign w:val="superscript"/>
        </w:rPr>
        <w:t>nd</w:t>
      </w:r>
      <w:r w:rsidRPr="00780011">
        <w:rPr>
          <w:sz w:val="19"/>
          <w:szCs w:val="19"/>
        </w:rPr>
        <w:t>;</w:t>
      </w:r>
    </w:p>
    <w:p w:rsidR="00E845E2" w:rsidRPr="00780011" w:rsidRDefault="00065A63" w:rsidP="00E845E2">
      <w:pPr>
        <w:pStyle w:val="ListParagraph"/>
        <w:numPr>
          <w:ilvl w:val="0"/>
          <w:numId w:val="14"/>
        </w:numPr>
        <w:rPr>
          <w:sz w:val="19"/>
          <w:szCs w:val="19"/>
        </w:rPr>
      </w:pPr>
      <w:r w:rsidRPr="00780011">
        <w:rPr>
          <w:sz w:val="19"/>
          <w:szCs w:val="19"/>
        </w:rPr>
        <w:t>Ms. Gladue met Mr. Barton</w:t>
      </w:r>
      <w:r w:rsidR="00E845E2" w:rsidRPr="00780011">
        <w:rPr>
          <w:sz w:val="19"/>
          <w:szCs w:val="19"/>
        </w:rPr>
        <w:t xml:space="preserve"> in the </w:t>
      </w:r>
      <w:r w:rsidR="00FD407B" w:rsidRPr="00780011">
        <w:rPr>
          <w:sz w:val="19"/>
          <w:szCs w:val="19"/>
        </w:rPr>
        <w:t xml:space="preserve">hotel </w:t>
      </w:r>
      <w:r w:rsidR="00E845E2" w:rsidRPr="00780011">
        <w:rPr>
          <w:sz w:val="19"/>
          <w:szCs w:val="19"/>
        </w:rPr>
        <w:t>bar and stayed with him as he visited with a co-worker;</w:t>
      </w:r>
    </w:p>
    <w:p w:rsidR="00E845E2" w:rsidRPr="00780011" w:rsidRDefault="00E845E2" w:rsidP="00E845E2">
      <w:pPr>
        <w:pStyle w:val="ListParagraph"/>
        <w:numPr>
          <w:ilvl w:val="0"/>
          <w:numId w:val="14"/>
        </w:numPr>
        <w:rPr>
          <w:sz w:val="19"/>
          <w:szCs w:val="19"/>
        </w:rPr>
      </w:pPr>
      <w:r w:rsidRPr="00780011">
        <w:rPr>
          <w:sz w:val="19"/>
          <w:szCs w:val="19"/>
        </w:rPr>
        <w:t>T</w:t>
      </w:r>
      <w:r w:rsidR="00065A63" w:rsidRPr="00780011">
        <w:rPr>
          <w:sz w:val="19"/>
          <w:szCs w:val="19"/>
        </w:rPr>
        <w:t>he parties walked back to Mr. Barton’s</w:t>
      </w:r>
      <w:r w:rsidRPr="00780011">
        <w:rPr>
          <w:sz w:val="19"/>
          <w:szCs w:val="19"/>
        </w:rPr>
        <w:t xml:space="preserve"> hotel room after being in the bar;</w:t>
      </w:r>
    </w:p>
    <w:p w:rsidR="00E845E2" w:rsidRPr="00780011" w:rsidRDefault="00065A63" w:rsidP="00E845E2">
      <w:pPr>
        <w:pStyle w:val="ListParagraph"/>
        <w:numPr>
          <w:ilvl w:val="0"/>
          <w:numId w:val="14"/>
        </w:numPr>
        <w:rPr>
          <w:sz w:val="19"/>
          <w:szCs w:val="19"/>
        </w:rPr>
      </w:pPr>
      <w:r w:rsidRPr="00780011">
        <w:rPr>
          <w:sz w:val="19"/>
          <w:szCs w:val="19"/>
        </w:rPr>
        <w:t>T</w:t>
      </w:r>
      <w:r w:rsidR="004A430F" w:rsidRPr="00780011">
        <w:rPr>
          <w:sz w:val="19"/>
          <w:szCs w:val="19"/>
        </w:rPr>
        <w:t>he parties</w:t>
      </w:r>
      <w:r w:rsidR="00F92B04" w:rsidRPr="00780011">
        <w:rPr>
          <w:sz w:val="19"/>
          <w:szCs w:val="19"/>
        </w:rPr>
        <w:t xml:space="preserve"> discussed a price</w:t>
      </w:r>
      <w:r w:rsidR="00FD407B" w:rsidRPr="00780011">
        <w:rPr>
          <w:sz w:val="19"/>
          <w:szCs w:val="19"/>
        </w:rPr>
        <w:t xml:space="preserve"> for sexual services</w:t>
      </w:r>
      <w:r w:rsidR="00F92B04" w:rsidRPr="00780011">
        <w:rPr>
          <w:sz w:val="19"/>
          <w:szCs w:val="19"/>
        </w:rPr>
        <w:t xml:space="preserve">, </w:t>
      </w:r>
      <w:r w:rsidR="00FD407B" w:rsidRPr="00780011">
        <w:rPr>
          <w:sz w:val="19"/>
          <w:szCs w:val="19"/>
        </w:rPr>
        <w:t xml:space="preserve">the </w:t>
      </w:r>
      <w:r w:rsidR="00F92B04" w:rsidRPr="00780011">
        <w:rPr>
          <w:sz w:val="19"/>
          <w:szCs w:val="19"/>
        </w:rPr>
        <w:t>same as the night before;</w:t>
      </w:r>
    </w:p>
    <w:p w:rsidR="00F92B04" w:rsidRPr="00780011" w:rsidRDefault="00065A63" w:rsidP="00E845E2">
      <w:pPr>
        <w:pStyle w:val="ListParagraph"/>
        <w:numPr>
          <w:ilvl w:val="0"/>
          <w:numId w:val="14"/>
        </w:numPr>
        <w:rPr>
          <w:sz w:val="19"/>
          <w:szCs w:val="19"/>
        </w:rPr>
      </w:pPr>
      <w:r w:rsidRPr="00780011">
        <w:rPr>
          <w:sz w:val="19"/>
          <w:szCs w:val="19"/>
        </w:rPr>
        <w:t>A</w:t>
      </w:r>
      <w:r w:rsidR="00F92B04" w:rsidRPr="00780011">
        <w:rPr>
          <w:sz w:val="19"/>
          <w:szCs w:val="19"/>
        </w:rPr>
        <w:t>fter</w:t>
      </w:r>
      <w:r w:rsidRPr="00780011">
        <w:rPr>
          <w:sz w:val="19"/>
          <w:szCs w:val="19"/>
        </w:rPr>
        <w:t xml:space="preserve"> the parties had</w:t>
      </w:r>
      <w:r w:rsidR="00F92B04" w:rsidRPr="00780011">
        <w:rPr>
          <w:sz w:val="19"/>
          <w:szCs w:val="19"/>
        </w:rPr>
        <w:t xml:space="preserve"> a</w:t>
      </w:r>
      <w:r w:rsidR="00FD407B" w:rsidRPr="00780011">
        <w:rPr>
          <w:sz w:val="19"/>
          <w:szCs w:val="19"/>
        </w:rPr>
        <w:t xml:space="preserve"> short</w:t>
      </w:r>
      <w:r w:rsidR="00F92B04" w:rsidRPr="00780011">
        <w:rPr>
          <w:sz w:val="19"/>
          <w:szCs w:val="19"/>
        </w:rPr>
        <w:t xml:space="preserve"> conversation and a b</w:t>
      </w:r>
      <w:r w:rsidR="00FD407B" w:rsidRPr="00780011">
        <w:rPr>
          <w:sz w:val="19"/>
          <w:szCs w:val="19"/>
        </w:rPr>
        <w:t>eer together Mr. Barton</w:t>
      </w:r>
      <w:r w:rsidR="00F92B04" w:rsidRPr="00780011">
        <w:rPr>
          <w:sz w:val="19"/>
          <w:szCs w:val="19"/>
        </w:rPr>
        <w:t xml:space="preserve"> said, “Cindy let’s get at this” which prompted Ms. Gladue to go into the bathroom and</w:t>
      </w:r>
      <w:r w:rsidRPr="00780011">
        <w:rPr>
          <w:sz w:val="19"/>
          <w:szCs w:val="19"/>
        </w:rPr>
        <w:t>,</w:t>
      </w:r>
      <w:r w:rsidR="00F92B04" w:rsidRPr="00780011">
        <w:rPr>
          <w:sz w:val="19"/>
          <w:szCs w:val="19"/>
        </w:rPr>
        <w:t xml:space="preserve"> after a few minutes</w:t>
      </w:r>
      <w:r w:rsidRPr="00780011">
        <w:rPr>
          <w:sz w:val="19"/>
          <w:szCs w:val="19"/>
        </w:rPr>
        <w:t>,</w:t>
      </w:r>
      <w:r w:rsidR="00AF229D" w:rsidRPr="00780011">
        <w:rPr>
          <w:sz w:val="19"/>
          <w:szCs w:val="19"/>
        </w:rPr>
        <w:t xml:space="preserve"> emerge fully naked; and</w:t>
      </w:r>
    </w:p>
    <w:p w:rsidR="00F92B04" w:rsidRPr="00780011" w:rsidRDefault="00F92B04" w:rsidP="00E845E2">
      <w:pPr>
        <w:pStyle w:val="ListParagraph"/>
        <w:numPr>
          <w:ilvl w:val="0"/>
          <w:numId w:val="14"/>
        </w:numPr>
        <w:rPr>
          <w:sz w:val="19"/>
          <w:szCs w:val="19"/>
        </w:rPr>
      </w:pPr>
      <w:r w:rsidRPr="00780011">
        <w:rPr>
          <w:sz w:val="19"/>
          <w:szCs w:val="19"/>
        </w:rPr>
        <w:t>Ms. Gladue then sat on the corner of the bed</w:t>
      </w:r>
      <w:r w:rsidR="00FD407B" w:rsidRPr="00780011">
        <w:rPr>
          <w:sz w:val="19"/>
          <w:szCs w:val="19"/>
        </w:rPr>
        <w:t xml:space="preserve">, and after </w:t>
      </w:r>
      <w:r w:rsidRPr="00780011">
        <w:rPr>
          <w:sz w:val="19"/>
          <w:szCs w:val="19"/>
        </w:rPr>
        <w:t>further discussion</w:t>
      </w:r>
      <w:r w:rsidR="00B13725" w:rsidRPr="00780011">
        <w:rPr>
          <w:sz w:val="19"/>
          <w:szCs w:val="19"/>
        </w:rPr>
        <w:t xml:space="preserve"> between</w:t>
      </w:r>
      <w:r w:rsidR="00F50661" w:rsidRPr="00780011">
        <w:rPr>
          <w:sz w:val="19"/>
          <w:szCs w:val="19"/>
        </w:rPr>
        <w:t xml:space="preserve"> them </w:t>
      </w:r>
      <w:r w:rsidR="00B13725" w:rsidRPr="00780011">
        <w:rPr>
          <w:sz w:val="19"/>
          <w:szCs w:val="19"/>
        </w:rPr>
        <w:t>to check</w:t>
      </w:r>
      <w:r w:rsidR="00FD407B" w:rsidRPr="00780011">
        <w:rPr>
          <w:sz w:val="19"/>
          <w:szCs w:val="19"/>
        </w:rPr>
        <w:t xml:space="preserve"> that she was “good to go and ready,”</w:t>
      </w:r>
      <w:r w:rsidR="00AF229D" w:rsidRPr="00780011">
        <w:rPr>
          <w:sz w:val="19"/>
          <w:szCs w:val="19"/>
        </w:rPr>
        <w:t xml:space="preserve"> Mr. Barton</w:t>
      </w:r>
      <w:r w:rsidRPr="00780011">
        <w:rPr>
          <w:sz w:val="19"/>
          <w:szCs w:val="19"/>
        </w:rPr>
        <w:t xml:space="preserve"> walked up to her and she pu</w:t>
      </w:r>
      <w:r w:rsidR="00B13725" w:rsidRPr="00780011">
        <w:rPr>
          <w:sz w:val="19"/>
          <w:szCs w:val="19"/>
        </w:rPr>
        <w:t>lled his penis into her mouth while</w:t>
      </w:r>
      <w:r w:rsidRPr="00780011">
        <w:rPr>
          <w:sz w:val="19"/>
          <w:szCs w:val="19"/>
        </w:rPr>
        <w:t xml:space="preserve"> he commenced inser</w:t>
      </w:r>
      <w:r w:rsidR="005115D7" w:rsidRPr="00780011">
        <w:rPr>
          <w:sz w:val="19"/>
          <w:szCs w:val="19"/>
        </w:rPr>
        <w:t>ting his fingers, one at a time</w:t>
      </w:r>
      <w:r w:rsidR="007A53F2" w:rsidRPr="00780011">
        <w:rPr>
          <w:sz w:val="19"/>
          <w:szCs w:val="19"/>
        </w:rPr>
        <w:t xml:space="preserve"> and progressively</w:t>
      </w:r>
      <w:r w:rsidR="005115D7" w:rsidRPr="00780011">
        <w:rPr>
          <w:sz w:val="19"/>
          <w:szCs w:val="19"/>
        </w:rPr>
        <w:t>,</w:t>
      </w:r>
      <w:r w:rsidR="007A53F2" w:rsidRPr="00780011">
        <w:rPr>
          <w:sz w:val="19"/>
          <w:szCs w:val="19"/>
        </w:rPr>
        <w:t xml:space="preserve"> into her vagina until part of his hand was inside her vagina. </w:t>
      </w:r>
    </w:p>
    <w:p w:rsidR="00F92B04" w:rsidRPr="00780011" w:rsidRDefault="00F92B04" w:rsidP="00F92B04">
      <w:pPr>
        <w:rPr>
          <w:sz w:val="19"/>
          <w:szCs w:val="19"/>
        </w:rPr>
      </w:pPr>
    </w:p>
    <w:p w:rsidR="001E1CDF" w:rsidRDefault="007A53F2" w:rsidP="003D277D">
      <w:pPr>
        <w:ind w:left="357"/>
        <w:rPr>
          <w:sz w:val="19"/>
          <w:szCs w:val="19"/>
        </w:rPr>
      </w:pPr>
      <w:r w:rsidRPr="00780011">
        <w:rPr>
          <w:sz w:val="19"/>
          <w:szCs w:val="19"/>
        </w:rPr>
        <w:t>A review of the transcript of Mr. Barton’s testimony at pages 1121/6 through to 1124/28 bears out that Mr. Barton did in fact refer to these steps. Mr. Barton did not resile thi</w:t>
      </w:r>
      <w:r w:rsidR="00AB3032">
        <w:rPr>
          <w:sz w:val="19"/>
          <w:szCs w:val="19"/>
        </w:rPr>
        <w:t>s position in cross examination</w:t>
      </w:r>
      <w:r w:rsidRPr="00780011">
        <w:rPr>
          <w:sz w:val="19"/>
          <w:szCs w:val="19"/>
        </w:rPr>
        <w:t xml:space="preserve"> (See 1269/1 to 1269/16)</w:t>
      </w:r>
      <w:r w:rsidR="00AB3032">
        <w:rPr>
          <w:sz w:val="19"/>
          <w:szCs w:val="19"/>
        </w:rPr>
        <w:t>.</w:t>
      </w:r>
      <w:r w:rsidR="00BD1B17" w:rsidRPr="00780011">
        <w:rPr>
          <w:sz w:val="19"/>
          <w:szCs w:val="19"/>
        </w:rPr>
        <w:t xml:space="preserve"> </w:t>
      </w:r>
      <w:r w:rsidR="00F92B04" w:rsidRPr="00780011">
        <w:rPr>
          <w:sz w:val="19"/>
          <w:szCs w:val="19"/>
        </w:rPr>
        <w:t xml:space="preserve">Although I am uncertain as to whether I provided an exhaustive list at the time, I am </w:t>
      </w:r>
      <w:r w:rsidR="00830AE4" w:rsidRPr="00780011">
        <w:rPr>
          <w:sz w:val="19"/>
          <w:szCs w:val="19"/>
        </w:rPr>
        <w:t xml:space="preserve">absolutely sure that I listed all or most of these steps in reply to the </w:t>
      </w:r>
    </w:p>
    <w:p w:rsidR="001E1CDF" w:rsidRDefault="001E1CDF">
      <w:pPr>
        <w:rPr>
          <w:sz w:val="19"/>
          <w:szCs w:val="19"/>
        </w:rPr>
      </w:pPr>
      <w:r>
        <w:rPr>
          <w:sz w:val="19"/>
          <w:szCs w:val="19"/>
        </w:rPr>
        <w:br w:type="page"/>
      </w:r>
    </w:p>
    <w:p w:rsidR="00F92B04" w:rsidRPr="00780011" w:rsidRDefault="00830AE4" w:rsidP="003D277D">
      <w:pPr>
        <w:ind w:left="357"/>
        <w:rPr>
          <w:sz w:val="19"/>
          <w:szCs w:val="19"/>
        </w:rPr>
      </w:pPr>
      <w:r w:rsidRPr="00780011">
        <w:rPr>
          <w:sz w:val="19"/>
          <w:szCs w:val="19"/>
        </w:rPr>
        <w:lastRenderedPageBreak/>
        <w:t xml:space="preserve">Court’s question, and </w:t>
      </w:r>
      <w:r w:rsidRPr="00780011">
        <w:rPr>
          <w:sz w:val="19"/>
          <w:szCs w:val="19"/>
          <w:u w:val="single"/>
        </w:rPr>
        <w:t>then</w:t>
      </w:r>
      <w:r w:rsidRPr="00780011">
        <w:rPr>
          <w:sz w:val="19"/>
          <w:szCs w:val="19"/>
        </w:rPr>
        <w:t xml:space="preserve"> stated, “What’s a man to do?” as a rhetorical </w:t>
      </w:r>
      <w:r w:rsidR="00065A63" w:rsidRPr="00780011">
        <w:rPr>
          <w:sz w:val="19"/>
          <w:szCs w:val="19"/>
        </w:rPr>
        <w:t>question to argue</w:t>
      </w:r>
      <w:r w:rsidRPr="00780011">
        <w:rPr>
          <w:sz w:val="19"/>
          <w:szCs w:val="19"/>
        </w:rPr>
        <w:t xml:space="preserve"> that Mr. Barton clearly had </w:t>
      </w:r>
      <w:r w:rsidR="00FD407B" w:rsidRPr="00780011">
        <w:rPr>
          <w:sz w:val="19"/>
          <w:szCs w:val="19"/>
        </w:rPr>
        <w:t>taken</w:t>
      </w:r>
      <w:r w:rsidRPr="00780011">
        <w:rPr>
          <w:sz w:val="19"/>
          <w:szCs w:val="19"/>
        </w:rPr>
        <w:t xml:space="preserve"> reasonable steps to ascertain Ms. Gladue’s consent. </w:t>
      </w:r>
    </w:p>
    <w:p w:rsidR="00830AE4" w:rsidRPr="00780011" w:rsidRDefault="00830AE4" w:rsidP="00F92B04">
      <w:pPr>
        <w:rPr>
          <w:sz w:val="19"/>
          <w:szCs w:val="19"/>
        </w:rPr>
      </w:pPr>
    </w:p>
    <w:p w:rsidR="00830AE4" w:rsidRPr="00780011" w:rsidRDefault="00830AE4" w:rsidP="003D277D">
      <w:pPr>
        <w:ind w:left="357"/>
        <w:rPr>
          <w:sz w:val="19"/>
          <w:szCs w:val="19"/>
        </w:rPr>
      </w:pPr>
      <w:r w:rsidRPr="00780011">
        <w:rPr>
          <w:sz w:val="19"/>
          <w:szCs w:val="19"/>
        </w:rPr>
        <w:t xml:space="preserve">Thus, to suggest in your Reasons that I had made the rhetorical </w:t>
      </w:r>
      <w:r w:rsidR="00FD407B" w:rsidRPr="00780011">
        <w:rPr>
          <w:sz w:val="19"/>
          <w:szCs w:val="19"/>
        </w:rPr>
        <w:t>remark toward</w:t>
      </w:r>
      <w:r w:rsidRPr="00780011">
        <w:rPr>
          <w:sz w:val="19"/>
          <w:szCs w:val="19"/>
        </w:rPr>
        <w:t xml:space="preserve"> a much wider and different context, particularly</w:t>
      </w:r>
      <w:r w:rsidR="00B13725" w:rsidRPr="00780011">
        <w:rPr>
          <w:sz w:val="19"/>
          <w:szCs w:val="19"/>
        </w:rPr>
        <w:t xml:space="preserve"> to</w:t>
      </w:r>
      <w:r w:rsidRPr="00780011">
        <w:rPr>
          <w:sz w:val="19"/>
          <w:szCs w:val="19"/>
        </w:rPr>
        <w:t xml:space="preserve"> </w:t>
      </w:r>
      <w:r w:rsidR="00FD407B" w:rsidRPr="00780011">
        <w:rPr>
          <w:sz w:val="19"/>
          <w:szCs w:val="19"/>
        </w:rPr>
        <w:t xml:space="preserve">suggest </w:t>
      </w:r>
      <w:r w:rsidRPr="00780011">
        <w:rPr>
          <w:sz w:val="19"/>
          <w:szCs w:val="19"/>
        </w:rPr>
        <w:t xml:space="preserve">that men might feel licenced to </w:t>
      </w:r>
      <w:r w:rsidR="00065A63" w:rsidRPr="00780011">
        <w:rPr>
          <w:sz w:val="19"/>
          <w:szCs w:val="19"/>
        </w:rPr>
        <w:t>sexually touch a woman until the woman</w:t>
      </w:r>
      <w:r w:rsidRPr="00780011">
        <w:rPr>
          <w:sz w:val="19"/>
          <w:szCs w:val="19"/>
        </w:rPr>
        <w:t xml:space="preserve"> has indicated “No” was absolutely wrong</w:t>
      </w:r>
      <w:r w:rsidR="00FD407B" w:rsidRPr="00780011">
        <w:rPr>
          <w:sz w:val="19"/>
          <w:szCs w:val="19"/>
        </w:rPr>
        <w:t>. I</w:t>
      </w:r>
      <w:r w:rsidRPr="00780011">
        <w:rPr>
          <w:sz w:val="19"/>
          <w:szCs w:val="19"/>
        </w:rPr>
        <w:t>ndeed</w:t>
      </w:r>
      <w:r w:rsidR="00FD407B" w:rsidRPr="00780011">
        <w:rPr>
          <w:sz w:val="19"/>
          <w:szCs w:val="19"/>
        </w:rPr>
        <w:t xml:space="preserve">, </w:t>
      </w:r>
      <w:r w:rsidR="00065A63" w:rsidRPr="00780011">
        <w:rPr>
          <w:sz w:val="19"/>
          <w:szCs w:val="19"/>
        </w:rPr>
        <w:t xml:space="preserve">it portrayed me as </w:t>
      </w:r>
      <w:r w:rsidR="00AF229D" w:rsidRPr="00780011">
        <w:rPr>
          <w:sz w:val="19"/>
          <w:szCs w:val="19"/>
        </w:rPr>
        <w:t xml:space="preserve">someone </w:t>
      </w:r>
      <w:r w:rsidR="00065A63" w:rsidRPr="00780011">
        <w:rPr>
          <w:sz w:val="19"/>
          <w:szCs w:val="19"/>
        </w:rPr>
        <w:t xml:space="preserve">whose conduct is unbecoming of a barrister and solicitor. </w:t>
      </w:r>
      <w:r w:rsidR="007E5A39">
        <w:rPr>
          <w:sz w:val="19"/>
          <w:szCs w:val="19"/>
        </w:rPr>
        <w:t xml:space="preserve">The </w:t>
      </w:r>
      <w:r w:rsidR="00C23708">
        <w:rPr>
          <w:sz w:val="19"/>
          <w:szCs w:val="19"/>
        </w:rPr>
        <w:t xml:space="preserve">gravity of the </w:t>
      </w:r>
      <w:r w:rsidR="007E5A39">
        <w:rPr>
          <w:sz w:val="19"/>
          <w:szCs w:val="19"/>
        </w:rPr>
        <w:t xml:space="preserve">error was exacerbated because the specific quote was repeated in Paula </w:t>
      </w:r>
      <w:r w:rsidR="00CC25FE">
        <w:rPr>
          <w:sz w:val="19"/>
          <w:szCs w:val="19"/>
        </w:rPr>
        <w:t>Simons</w:t>
      </w:r>
      <w:r w:rsidR="007F56A4">
        <w:rPr>
          <w:sz w:val="19"/>
          <w:szCs w:val="19"/>
        </w:rPr>
        <w:t>’ column</w:t>
      </w:r>
      <w:r w:rsidR="00AB3032">
        <w:rPr>
          <w:sz w:val="19"/>
          <w:szCs w:val="19"/>
        </w:rPr>
        <w:t xml:space="preserve"> concerning</w:t>
      </w:r>
      <w:r w:rsidR="00C23708">
        <w:rPr>
          <w:sz w:val="19"/>
          <w:szCs w:val="19"/>
        </w:rPr>
        <w:t xml:space="preserve"> the case</w:t>
      </w:r>
      <w:r w:rsidR="00AB3032">
        <w:rPr>
          <w:sz w:val="19"/>
          <w:szCs w:val="19"/>
        </w:rPr>
        <w:t xml:space="preserve"> that was </w:t>
      </w:r>
      <w:r w:rsidR="007E5A39">
        <w:rPr>
          <w:sz w:val="19"/>
          <w:szCs w:val="19"/>
        </w:rPr>
        <w:t>published in the Edmonton Journal on July 3</w:t>
      </w:r>
      <w:r w:rsidR="007E5A39" w:rsidRPr="007E5A39">
        <w:rPr>
          <w:sz w:val="19"/>
          <w:szCs w:val="19"/>
          <w:vertAlign w:val="superscript"/>
        </w:rPr>
        <w:t>rd</w:t>
      </w:r>
      <w:r w:rsidR="007E5A39">
        <w:rPr>
          <w:sz w:val="19"/>
          <w:szCs w:val="19"/>
        </w:rPr>
        <w:t xml:space="preserve">. </w:t>
      </w:r>
      <w:r w:rsidR="00065A63" w:rsidRPr="00780011">
        <w:rPr>
          <w:sz w:val="19"/>
          <w:szCs w:val="19"/>
        </w:rPr>
        <w:t xml:space="preserve">Please have this error acknowledged and corrected as soon as possible. </w:t>
      </w:r>
    </w:p>
    <w:p w:rsidR="00830AE4" w:rsidRPr="00780011" w:rsidRDefault="00830AE4" w:rsidP="00F92B04">
      <w:pPr>
        <w:rPr>
          <w:sz w:val="19"/>
          <w:szCs w:val="19"/>
        </w:rPr>
      </w:pPr>
    </w:p>
    <w:p w:rsidR="00830AE4" w:rsidRPr="00780011" w:rsidRDefault="00FD407B" w:rsidP="003D277D">
      <w:pPr>
        <w:ind w:left="357"/>
        <w:rPr>
          <w:sz w:val="19"/>
          <w:szCs w:val="19"/>
        </w:rPr>
      </w:pPr>
      <w:r w:rsidRPr="00780011">
        <w:rPr>
          <w:sz w:val="19"/>
          <w:szCs w:val="19"/>
        </w:rPr>
        <w:t xml:space="preserve">(2) </w:t>
      </w:r>
      <w:r w:rsidR="00065A63" w:rsidRPr="00780011">
        <w:rPr>
          <w:sz w:val="19"/>
          <w:szCs w:val="19"/>
        </w:rPr>
        <w:t>O</w:t>
      </w:r>
      <w:r w:rsidR="00830AE4" w:rsidRPr="00780011">
        <w:rPr>
          <w:sz w:val="19"/>
          <w:szCs w:val="19"/>
        </w:rPr>
        <w:t>n the issue of whether the trial judge erred in law in charging the jury on after the fact conduct</w:t>
      </w:r>
      <w:r w:rsidR="00065A63" w:rsidRPr="00780011">
        <w:rPr>
          <w:sz w:val="19"/>
          <w:szCs w:val="19"/>
        </w:rPr>
        <w:t>, the Court held at paragraph 55:</w:t>
      </w:r>
    </w:p>
    <w:p w:rsidR="004E1DB5" w:rsidRPr="00780011" w:rsidRDefault="004E1DB5" w:rsidP="00F92B04">
      <w:pPr>
        <w:rPr>
          <w:sz w:val="19"/>
          <w:szCs w:val="19"/>
        </w:rPr>
      </w:pPr>
    </w:p>
    <w:p w:rsidR="004E1DB5" w:rsidRPr="00780011" w:rsidRDefault="004E1DB5" w:rsidP="00065A63">
      <w:pPr>
        <w:ind w:left="1440" w:right="720"/>
        <w:rPr>
          <w:sz w:val="19"/>
          <w:szCs w:val="19"/>
        </w:rPr>
      </w:pPr>
      <w:r w:rsidRPr="00780011">
        <w:rPr>
          <w:sz w:val="19"/>
          <w:szCs w:val="19"/>
        </w:rPr>
        <w:t>“Crown and defence acknowledged at the hearing of this appeal that the trial judge erred in law i</w:t>
      </w:r>
      <w:r w:rsidR="00B74A5A" w:rsidRPr="00780011">
        <w:rPr>
          <w:sz w:val="19"/>
          <w:szCs w:val="19"/>
        </w:rPr>
        <w:t>n his treatment of thi</w:t>
      </w:r>
      <w:r w:rsidRPr="00780011">
        <w:rPr>
          <w:sz w:val="19"/>
          <w:szCs w:val="19"/>
        </w:rPr>
        <w:t xml:space="preserve">s nuanced subject. But counsel disagreed about the significance of that error.” </w:t>
      </w:r>
    </w:p>
    <w:p w:rsidR="009C5D44" w:rsidRPr="00780011" w:rsidRDefault="009C5D44" w:rsidP="001944D8">
      <w:pPr>
        <w:rPr>
          <w:sz w:val="19"/>
          <w:szCs w:val="19"/>
        </w:rPr>
      </w:pPr>
    </w:p>
    <w:p w:rsidR="004E1DB5" w:rsidRPr="00780011" w:rsidRDefault="004E1DB5" w:rsidP="003D277D">
      <w:pPr>
        <w:ind w:left="357"/>
        <w:rPr>
          <w:sz w:val="19"/>
          <w:szCs w:val="19"/>
        </w:rPr>
      </w:pPr>
      <w:r w:rsidRPr="00780011">
        <w:rPr>
          <w:sz w:val="19"/>
          <w:szCs w:val="19"/>
        </w:rPr>
        <w:t xml:space="preserve">At paragraph 56 the Court went on to say that this was an “admitted error”. </w:t>
      </w:r>
    </w:p>
    <w:p w:rsidR="004E1DB5" w:rsidRPr="00780011" w:rsidRDefault="004E1DB5" w:rsidP="001944D8">
      <w:pPr>
        <w:rPr>
          <w:sz w:val="19"/>
          <w:szCs w:val="19"/>
        </w:rPr>
      </w:pPr>
    </w:p>
    <w:p w:rsidR="004E1DB5" w:rsidRPr="00780011" w:rsidRDefault="00AF229D" w:rsidP="003D277D">
      <w:pPr>
        <w:ind w:left="357"/>
        <w:rPr>
          <w:sz w:val="19"/>
          <w:szCs w:val="19"/>
        </w:rPr>
      </w:pPr>
      <w:r w:rsidRPr="00780011">
        <w:rPr>
          <w:sz w:val="19"/>
          <w:szCs w:val="19"/>
        </w:rPr>
        <w:t>T</w:t>
      </w:r>
      <w:r w:rsidR="004E1DB5" w:rsidRPr="00780011">
        <w:rPr>
          <w:sz w:val="19"/>
          <w:szCs w:val="19"/>
        </w:rPr>
        <w:t>his topic was first raised by the panel on September 6</w:t>
      </w:r>
      <w:r w:rsidR="004E1DB5" w:rsidRPr="00780011">
        <w:rPr>
          <w:sz w:val="19"/>
          <w:szCs w:val="19"/>
          <w:vertAlign w:val="superscript"/>
        </w:rPr>
        <w:t>th</w:t>
      </w:r>
      <w:r w:rsidR="004E1DB5" w:rsidRPr="00780011">
        <w:rPr>
          <w:sz w:val="19"/>
          <w:szCs w:val="19"/>
        </w:rPr>
        <w:t xml:space="preserve"> and the Court asked for my reply when we returned for September 7</w:t>
      </w:r>
      <w:r w:rsidR="004E1DB5" w:rsidRPr="00780011">
        <w:rPr>
          <w:sz w:val="19"/>
          <w:szCs w:val="19"/>
          <w:vertAlign w:val="superscript"/>
        </w:rPr>
        <w:t>th</w:t>
      </w:r>
      <w:r w:rsidR="004E1DB5" w:rsidRPr="00780011">
        <w:rPr>
          <w:sz w:val="19"/>
          <w:szCs w:val="19"/>
        </w:rPr>
        <w:t>. On September 7</w:t>
      </w:r>
      <w:r w:rsidR="004E1DB5" w:rsidRPr="00780011">
        <w:rPr>
          <w:sz w:val="19"/>
          <w:szCs w:val="19"/>
          <w:vertAlign w:val="superscript"/>
        </w:rPr>
        <w:t>th</w:t>
      </w:r>
      <w:r w:rsidR="004E1DB5" w:rsidRPr="00780011">
        <w:rPr>
          <w:sz w:val="19"/>
          <w:szCs w:val="19"/>
        </w:rPr>
        <w:t xml:space="preserve"> my submission was that the trial judge’s charge was similar </w:t>
      </w:r>
      <w:r w:rsidR="003825F2" w:rsidRPr="00780011">
        <w:rPr>
          <w:sz w:val="19"/>
          <w:szCs w:val="19"/>
        </w:rPr>
        <w:t xml:space="preserve">or identical </w:t>
      </w:r>
      <w:r w:rsidR="004E1DB5" w:rsidRPr="00780011">
        <w:rPr>
          <w:sz w:val="19"/>
          <w:szCs w:val="19"/>
        </w:rPr>
        <w:t>to a model jury charge with the exception of one single sentence</w:t>
      </w:r>
      <w:r w:rsidR="003825F2" w:rsidRPr="00780011">
        <w:rPr>
          <w:sz w:val="19"/>
          <w:szCs w:val="19"/>
        </w:rPr>
        <w:t xml:space="preserve">. I also submitted that, </w:t>
      </w:r>
      <w:r w:rsidR="004E1DB5" w:rsidRPr="00780011">
        <w:rPr>
          <w:sz w:val="19"/>
          <w:szCs w:val="19"/>
        </w:rPr>
        <w:t xml:space="preserve">in any event, </w:t>
      </w:r>
      <w:r w:rsidR="003825F2" w:rsidRPr="00780011">
        <w:rPr>
          <w:sz w:val="19"/>
          <w:szCs w:val="19"/>
        </w:rPr>
        <w:t xml:space="preserve">it </w:t>
      </w:r>
      <w:r w:rsidR="004E1DB5" w:rsidRPr="00780011">
        <w:rPr>
          <w:sz w:val="19"/>
          <w:szCs w:val="19"/>
        </w:rPr>
        <w:t>was balanced off with additional comments the trial judge made to the jury on this point</w:t>
      </w:r>
      <w:r w:rsidR="0056256B" w:rsidRPr="00780011">
        <w:rPr>
          <w:sz w:val="19"/>
          <w:szCs w:val="19"/>
        </w:rPr>
        <w:t>, and that there was no reviewable error</w:t>
      </w:r>
      <w:r w:rsidR="004E1DB5" w:rsidRPr="00780011">
        <w:rPr>
          <w:sz w:val="19"/>
          <w:szCs w:val="19"/>
        </w:rPr>
        <w:t xml:space="preserve">. That is not the same as my having admitted that the trial judge erred in law on this issue. Again, I </w:t>
      </w:r>
      <w:r w:rsidR="003825F2" w:rsidRPr="00780011">
        <w:rPr>
          <w:sz w:val="19"/>
          <w:szCs w:val="19"/>
        </w:rPr>
        <w:t xml:space="preserve">request that the </w:t>
      </w:r>
      <w:r w:rsidR="004E1DB5" w:rsidRPr="00780011">
        <w:rPr>
          <w:sz w:val="19"/>
          <w:szCs w:val="19"/>
        </w:rPr>
        <w:t>R</w:t>
      </w:r>
      <w:r w:rsidR="003825F2" w:rsidRPr="00780011">
        <w:rPr>
          <w:sz w:val="19"/>
          <w:szCs w:val="19"/>
        </w:rPr>
        <w:t xml:space="preserve">easons </w:t>
      </w:r>
      <w:r w:rsidR="004E1DB5" w:rsidRPr="00780011">
        <w:rPr>
          <w:sz w:val="19"/>
          <w:szCs w:val="19"/>
        </w:rPr>
        <w:t>reflect that.</w:t>
      </w:r>
    </w:p>
    <w:p w:rsidR="004E1DB5" w:rsidRPr="00780011" w:rsidRDefault="004E1DB5" w:rsidP="001944D8">
      <w:pPr>
        <w:rPr>
          <w:sz w:val="19"/>
          <w:szCs w:val="19"/>
        </w:rPr>
      </w:pPr>
    </w:p>
    <w:p w:rsidR="004E1DB5" w:rsidRPr="00780011" w:rsidRDefault="003825F2" w:rsidP="003D277D">
      <w:pPr>
        <w:ind w:left="357"/>
        <w:rPr>
          <w:sz w:val="19"/>
          <w:szCs w:val="19"/>
        </w:rPr>
      </w:pPr>
      <w:r w:rsidRPr="00780011">
        <w:rPr>
          <w:sz w:val="19"/>
          <w:szCs w:val="19"/>
        </w:rPr>
        <w:t>(3) A</w:t>
      </w:r>
      <w:r w:rsidR="004E1DB5" w:rsidRPr="00780011">
        <w:rPr>
          <w:sz w:val="19"/>
          <w:szCs w:val="19"/>
        </w:rPr>
        <w:t>t</w:t>
      </w:r>
      <w:r w:rsidR="00AB3032">
        <w:rPr>
          <w:sz w:val="19"/>
          <w:szCs w:val="19"/>
        </w:rPr>
        <w:t xml:space="preserve"> paragraph 303 </w:t>
      </w:r>
      <w:r w:rsidR="004E1DB5" w:rsidRPr="00780011">
        <w:rPr>
          <w:sz w:val="19"/>
          <w:szCs w:val="19"/>
        </w:rPr>
        <w:t>the Court</w:t>
      </w:r>
      <w:r w:rsidRPr="00780011">
        <w:rPr>
          <w:sz w:val="19"/>
          <w:szCs w:val="19"/>
        </w:rPr>
        <w:t xml:space="preserve"> states that it</w:t>
      </w:r>
      <w:r w:rsidR="004E1DB5" w:rsidRPr="00780011">
        <w:rPr>
          <w:sz w:val="19"/>
          <w:szCs w:val="19"/>
        </w:rPr>
        <w:t xml:space="preserve"> “received no assistance from counsel” on whether the Court should follow the Ontario approach in </w:t>
      </w:r>
      <w:r w:rsidR="004E1DB5" w:rsidRPr="00780011">
        <w:rPr>
          <w:b/>
          <w:i/>
          <w:sz w:val="19"/>
          <w:szCs w:val="19"/>
        </w:rPr>
        <w:t>Zhao</w:t>
      </w:r>
      <w:r w:rsidRPr="00780011">
        <w:rPr>
          <w:sz w:val="19"/>
          <w:szCs w:val="19"/>
        </w:rPr>
        <w:t xml:space="preserve"> on</w:t>
      </w:r>
      <w:r w:rsidR="00AF229D" w:rsidRPr="00780011">
        <w:rPr>
          <w:sz w:val="19"/>
          <w:szCs w:val="19"/>
        </w:rPr>
        <w:t xml:space="preserve"> the particular question of</w:t>
      </w:r>
      <w:r w:rsidR="004E1DB5" w:rsidRPr="00780011">
        <w:rPr>
          <w:sz w:val="19"/>
          <w:szCs w:val="19"/>
        </w:rPr>
        <w:t xml:space="preserve"> whether consent should be vitiated for policy reasons based </w:t>
      </w:r>
      <w:r w:rsidRPr="00780011">
        <w:rPr>
          <w:sz w:val="19"/>
          <w:szCs w:val="19"/>
        </w:rPr>
        <w:t xml:space="preserve">only on subjective </w:t>
      </w:r>
      <w:r w:rsidR="004E1DB5" w:rsidRPr="00780011">
        <w:rPr>
          <w:sz w:val="19"/>
          <w:szCs w:val="19"/>
        </w:rPr>
        <w:t>foreseeability of the risk of bodily harm in circumstances where deat</w:t>
      </w:r>
      <w:r w:rsidRPr="00780011">
        <w:rPr>
          <w:sz w:val="19"/>
          <w:szCs w:val="19"/>
        </w:rPr>
        <w:t>h results from sexual activity</w:t>
      </w:r>
      <w:r w:rsidR="007F56A4">
        <w:rPr>
          <w:sz w:val="19"/>
          <w:szCs w:val="19"/>
        </w:rPr>
        <w:t>,</w:t>
      </w:r>
      <w:r w:rsidRPr="00780011">
        <w:rPr>
          <w:sz w:val="19"/>
          <w:szCs w:val="19"/>
        </w:rPr>
        <w:t xml:space="preserve"> or instead hold that liability can be founded on mere objective </w:t>
      </w:r>
      <w:r w:rsidR="009E3C4B" w:rsidRPr="00780011">
        <w:rPr>
          <w:sz w:val="19"/>
          <w:szCs w:val="19"/>
        </w:rPr>
        <w:t xml:space="preserve">foreseeability. </w:t>
      </w:r>
    </w:p>
    <w:p w:rsidR="004E1DB5" w:rsidRPr="00780011" w:rsidRDefault="004E1DB5" w:rsidP="001944D8">
      <w:pPr>
        <w:rPr>
          <w:sz w:val="19"/>
          <w:szCs w:val="19"/>
        </w:rPr>
      </w:pPr>
    </w:p>
    <w:p w:rsidR="00F50661" w:rsidRPr="00780011" w:rsidRDefault="00AB3032" w:rsidP="003D277D">
      <w:pPr>
        <w:ind w:left="357"/>
        <w:rPr>
          <w:sz w:val="19"/>
          <w:szCs w:val="19"/>
        </w:rPr>
      </w:pPr>
      <w:r>
        <w:rPr>
          <w:sz w:val="19"/>
          <w:szCs w:val="19"/>
        </w:rPr>
        <w:t xml:space="preserve">I do not know how I could have been </w:t>
      </w:r>
      <w:r w:rsidR="00B13725" w:rsidRPr="00780011">
        <w:rPr>
          <w:sz w:val="19"/>
          <w:szCs w:val="19"/>
        </w:rPr>
        <w:t xml:space="preserve">understood as </w:t>
      </w:r>
      <w:r w:rsidR="003D277D" w:rsidRPr="00780011">
        <w:rPr>
          <w:sz w:val="19"/>
          <w:szCs w:val="19"/>
        </w:rPr>
        <w:t>having provided</w:t>
      </w:r>
      <w:r w:rsidR="004E1DB5" w:rsidRPr="00780011">
        <w:rPr>
          <w:sz w:val="19"/>
          <w:szCs w:val="19"/>
        </w:rPr>
        <w:t xml:space="preserve"> </w:t>
      </w:r>
      <w:r w:rsidR="003825F2" w:rsidRPr="00780011">
        <w:rPr>
          <w:sz w:val="19"/>
          <w:szCs w:val="19"/>
        </w:rPr>
        <w:t>“</w:t>
      </w:r>
      <w:r w:rsidR="00B13725" w:rsidRPr="00780011">
        <w:rPr>
          <w:sz w:val="19"/>
          <w:szCs w:val="19"/>
        </w:rPr>
        <w:t xml:space="preserve">no </w:t>
      </w:r>
      <w:r w:rsidR="004E1DB5" w:rsidRPr="00780011">
        <w:rPr>
          <w:sz w:val="19"/>
          <w:szCs w:val="19"/>
        </w:rPr>
        <w:t>assistance</w:t>
      </w:r>
      <w:r w:rsidR="003825F2" w:rsidRPr="00780011">
        <w:rPr>
          <w:sz w:val="19"/>
          <w:szCs w:val="19"/>
        </w:rPr>
        <w:t>”</w:t>
      </w:r>
      <w:r w:rsidR="00AF229D" w:rsidRPr="00780011">
        <w:rPr>
          <w:sz w:val="19"/>
          <w:szCs w:val="19"/>
        </w:rPr>
        <w:t xml:space="preserve"> when, in fact, a significant</w:t>
      </w:r>
      <w:r w:rsidR="004E1DB5" w:rsidRPr="00780011">
        <w:rPr>
          <w:sz w:val="19"/>
          <w:szCs w:val="19"/>
        </w:rPr>
        <w:t xml:space="preserve"> portion of my oral submissions were specifically direct</w:t>
      </w:r>
      <w:r w:rsidR="00B13725" w:rsidRPr="00780011">
        <w:rPr>
          <w:sz w:val="19"/>
          <w:szCs w:val="19"/>
        </w:rPr>
        <w:t>ed toward</w:t>
      </w:r>
      <w:r w:rsidR="0056256B" w:rsidRPr="00780011">
        <w:rPr>
          <w:sz w:val="19"/>
          <w:szCs w:val="19"/>
        </w:rPr>
        <w:t xml:space="preserve"> why</w:t>
      </w:r>
      <w:r w:rsidR="004E1DB5" w:rsidRPr="00780011">
        <w:rPr>
          <w:sz w:val="19"/>
          <w:szCs w:val="19"/>
        </w:rPr>
        <w:t xml:space="preserve"> the Court should </w:t>
      </w:r>
      <w:r w:rsidR="003825F2" w:rsidRPr="00780011">
        <w:rPr>
          <w:sz w:val="19"/>
          <w:szCs w:val="19"/>
        </w:rPr>
        <w:t xml:space="preserve">indeed </w:t>
      </w:r>
      <w:r w:rsidR="004E1DB5" w:rsidRPr="00780011">
        <w:rPr>
          <w:sz w:val="19"/>
          <w:szCs w:val="19"/>
        </w:rPr>
        <w:t>follow the Ontario Court</w:t>
      </w:r>
      <w:r w:rsidR="0056256B" w:rsidRPr="00780011">
        <w:rPr>
          <w:sz w:val="19"/>
          <w:szCs w:val="19"/>
        </w:rPr>
        <w:t xml:space="preserve"> of Appeal’s approach which holds that there shoul</w:t>
      </w:r>
      <w:r w:rsidR="00B13725" w:rsidRPr="00780011">
        <w:rPr>
          <w:sz w:val="19"/>
          <w:szCs w:val="19"/>
        </w:rPr>
        <w:t>d be no route to liability akin to</w:t>
      </w:r>
      <w:r w:rsidR="0056256B" w:rsidRPr="00780011">
        <w:rPr>
          <w:sz w:val="19"/>
          <w:szCs w:val="19"/>
        </w:rPr>
        <w:t xml:space="preserve"> the </w:t>
      </w:r>
      <w:r w:rsidR="0056256B" w:rsidRPr="00780011">
        <w:rPr>
          <w:b/>
          <w:i/>
          <w:sz w:val="19"/>
          <w:szCs w:val="19"/>
        </w:rPr>
        <w:t>Jobidon</w:t>
      </w:r>
      <w:r w:rsidR="0056256B" w:rsidRPr="00780011">
        <w:rPr>
          <w:sz w:val="19"/>
          <w:szCs w:val="19"/>
        </w:rPr>
        <w:t xml:space="preserve"> pathway unless the accused subjectively intended or foresaw bodily harm. </w:t>
      </w:r>
    </w:p>
    <w:p w:rsidR="00F50661" w:rsidRPr="00780011" w:rsidRDefault="00F50661" w:rsidP="00AF229D">
      <w:pPr>
        <w:ind w:left="720"/>
        <w:rPr>
          <w:sz w:val="19"/>
          <w:szCs w:val="19"/>
        </w:rPr>
      </w:pPr>
    </w:p>
    <w:p w:rsidR="00F50661" w:rsidRPr="00780011" w:rsidRDefault="0056256B" w:rsidP="003D277D">
      <w:pPr>
        <w:ind w:left="357"/>
        <w:rPr>
          <w:sz w:val="19"/>
          <w:szCs w:val="19"/>
        </w:rPr>
      </w:pPr>
      <w:r w:rsidRPr="00780011">
        <w:rPr>
          <w:sz w:val="19"/>
          <w:szCs w:val="19"/>
        </w:rPr>
        <w:t xml:space="preserve">To that point, </w:t>
      </w:r>
      <w:r w:rsidR="00C964A2" w:rsidRPr="00780011">
        <w:rPr>
          <w:sz w:val="19"/>
          <w:szCs w:val="19"/>
        </w:rPr>
        <w:t xml:space="preserve">I recall </w:t>
      </w:r>
      <w:r w:rsidR="00AF0A8D" w:rsidRPr="00780011">
        <w:rPr>
          <w:sz w:val="19"/>
          <w:szCs w:val="19"/>
        </w:rPr>
        <w:t xml:space="preserve">Mr. </w:t>
      </w:r>
      <w:r w:rsidR="00C964A2" w:rsidRPr="00780011">
        <w:rPr>
          <w:sz w:val="19"/>
          <w:szCs w:val="19"/>
        </w:rPr>
        <w:t>Justice Watson indicating that perhaps the Ontario Court of Appeal had somehow lost its way and perhaps th</w:t>
      </w:r>
      <w:r w:rsidR="00AB3032">
        <w:rPr>
          <w:sz w:val="19"/>
          <w:szCs w:val="19"/>
        </w:rPr>
        <w:t>is Court should not follow suit</w:t>
      </w:r>
      <w:r w:rsidR="00C964A2" w:rsidRPr="00780011">
        <w:rPr>
          <w:sz w:val="19"/>
          <w:szCs w:val="19"/>
        </w:rPr>
        <w:t xml:space="preserve">. </w:t>
      </w:r>
      <w:r w:rsidRPr="00780011">
        <w:rPr>
          <w:sz w:val="19"/>
          <w:szCs w:val="19"/>
        </w:rPr>
        <w:t xml:space="preserve">Again, I responded that </w:t>
      </w:r>
      <w:r w:rsidRPr="00780011">
        <w:rPr>
          <w:b/>
          <w:i/>
          <w:sz w:val="19"/>
          <w:szCs w:val="19"/>
        </w:rPr>
        <w:t>Jobidon</w:t>
      </w:r>
      <w:r w:rsidRPr="00780011">
        <w:rPr>
          <w:sz w:val="19"/>
          <w:szCs w:val="19"/>
        </w:rPr>
        <w:t xml:space="preserve"> and </w:t>
      </w:r>
      <w:r w:rsidRPr="00780011">
        <w:rPr>
          <w:b/>
          <w:i/>
          <w:sz w:val="19"/>
          <w:szCs w:val="19"/>
        </w:rPr>
        <w:t>Paice</w:t>
      </w:r>
      <w:r w:rsidRPr="00780011">
        <w:rPr>
          <w:sz w:val="19"/>
          <w:szCs w:val="19"/>
        </w:rPr>
        <w:t>, which created a new pathway to manslaughter</w:t>
      </w:r>
      <w:r w:rsidR="00AF0A8D" w:rsidRPr="00780011">
        <w:rPr>
          <w:sz w:val="19"/>
          <w:szCs w:val="19"/>
        </w:rPr>
        <w:t xml:space="preserve"> since 1991</w:t>
      </w:r>
      <w:r w:rsidRPr="00780011">
        <w:rPr>
          <w:sz w:val="19"/>
          <w:szCs w:val="19"/>
        </w:rPr>
        <w:t xml:space="preserve">, was limited to </w:t>
      </w:r>
      <w:r w:rsidR="00AF0A8D" w:rsidRPr="00780011">
        <w:rPr>
          <w:sz w:val="19"/>
          <w:szCs w:val="19"/>
        </w:rPr>
        <w:t xml:space="preserve">establishing liability for </w:t>
      </w:r>
      <w:r w:rsidRPr="00780011">
        <w:rPr>
          <w:sz w:val="19"/>
          <w:szCs w:val="19"/>
        </w:rPr>
        <w:t xml:space="preserve">bodily harm intended </w:t>
      </w:r>
      <w:r w:rsidRPr="00780011">
        <w:rPr>
          <w:sz w:val="19"/>
          <w:szCs w:val="19"/>
          <w:u w:val="single"/>
        </w:rPr>
        <w:t>and</w:t>
      </w:r>
      <w:r w:rsidRPr="00780011">
        <w:rPr>
          <w:sz w:val="19"/>
          <w:szCs w:val="19"/>
        </w:rPr>
        <w:t xml:space="preserve"> caused, not intended </w:t>
      </w:r>
      <w:r w:rsidRPr="00780011">
        <w:rPr>
          <w:sz w:val="19"/>
          <w:szCs w:val="19"/>
          <w:u w:val="single"/>
        </w:rPr>
        <w:t>or</w:t>
      </w:r>
      <w:r w:rsidRPr="00780011">
        <w:rPr>
          <w:sz w:val="19"/>
          <w:szCs w:val="19"/>
        </w:rPr>
        <w:t xml:space="preserve"> caused, and therefore the prudent approach was that of the Ontario Court of Appeal’s. </w:t>
      </w:r>
    </w:p>
    <w:p w:rsidR="00F50661" w:rsidRPr="00780011" w:rsidRDefault="00F50661" w:rsidP="00AF229D">
      <w:pPr>
        <w:ind w:left="720"/>
        <w:rPr>
          <w:sz w:val="19"/>
          <w:szCs w:val="19"/>
        </w:rPr>
      </w:pPr>
    </w:p>
    <w:p w:rsidR="00C964A2" w:rsidRPr="00780011" w:rsidRDefault="00AB3032" w:rsidP="003D277D">
      <w:pPr>
        <w:ind w:left="357"/>
        <w:rPr>
          <w:sz w:val="19"/>
          <w:szCs w:val="19"/>
        </w:rPr>
      </w:pPr>
      <w:r>
        <w:rPr>
          <w:sz w:val="19"/>
          <w:szCs w:val="19"/>
        </w:rPr>
        <w:t xml:space="preserve">In short, </w:t>
      </w:r>
      <w:r w:rsidR="007F56A4">
        <w:rPr>
          <w:sz w:val="19"/>
          <w:szCs w:val="19"/>
        </w:rPr>
        <w:t xml:space="preserve">simply </w:t>
      </w:r>
      <w:r w:rsidR="00B13725" w:rsidRPr="00780011">
        <w:rPr>
          <w:sz w:val="19"/>
          <w:szCs w:val="19"/>
        </w:rPr>
        <w:t>because this Court may</w:t>
      </w:r>
      <w:r w:rsidR="00C964A2" w:rsidRPr="00780011">
        <w:rPr>
          <w:sz w:val="19"/>
          <w:szCs w:val="19"/>
        </w:rPr>
        <w:t xml:space="preserve"> no</w:t>
      </w:r>
      <w:r w:rsidR="00B13725" w:rsidRPr="00780011">
        <w:rPr>
          <w:sz w:val="19"/>
          <w:szCs w:val="19"/>
        </w:rPr>
        <w:t>t agree with my submissions on</w:t>
      </w:r>
      <w:r w:rsidR="00C964A2" w:rsidRPr="00780011">
        <w:rPr>
          <w:sz w:val="19"/>
          <w:szCs w:val="19"/>
        </w:rPr>
        <w:t xml:space="preserve"> </w:t>
      </w:r>
      <w:r w:rsidR="00C964A2" w:rsidRPr="00780011">
        <w:rPr>
          <w:b/>
          <w:i/>
          <w:sz w:val="19"/>
          <w:szCs w:val="19"/>
        </w:rPr>
        <w:t>Jobidon</w:t>
      </w:r>
      <w:r w:rsidR="00B13725" w:rsidRPr="00780011">
        <w:rPr>
          <w:sz w:val="19"/>
          <w:szCs w:val="19"/>
        </w:rPr>
        <w:t>,</w:t>
      </w:r>
      <w:r w:rsidR="00C964A2" w:rsidRPr="00780011">
        <w:rPr>
          <w:sz w:val="19"/>
          <w:szCs w:val="19"/>
        </w:rPr>
        <w:t xml:space="preserve"> </w:t>
      </w:r>
      <w:r w:rsidR="00C964A2" w:rsidRPr="00780011">
        <w:rPr>
          <w:b/>
          <w:i/>
          <w:sz w:val="19"/>
          <w:szCs w:val="19"/>
        </w:rPr>
        <w:t>Paice</w:t>
      </w:r>
      <w:r w:rsidR="00B13725" w:rsidRPr="00780011">
        <w:rPr>
          <w:sz w:val="19"/>
          <w:szCs w:val="19"/>
        </w:rPr>
        <w:t>, and</w:t>
      </w:r>
      <w:r w:rsidR="00C964A2" w:rsidRPr="00780011">
        <w:rPr>
          <w:sz w:val="19"/>
          <w:szCs w:val="19"/>
        </w:rPr>
        <w:t xml:space="preserve"> </w:t>
      </w:r>
      <w:r w:rsidR="00C964A2" w:rsidRPr="00780011">
        <w:rPr>
          <w:b/>
          <w:i/>
          <w:sz w:val="19"/>
          <w:szCs w:val="19"/>
        </w:rPr>
        <w:t>Zhao</w:t>
      </w:r>
      <w:r w:rsidR="00C964A2" w:rsidRPr="00780011">
        <w:rPr>
          <w:sz w:val="19"/>
          <w:szCs w:val="19"/>
        </w:rPr>
        <w:t xml:space="preserve">, </w:t>
      </w:r>
      <w:r w:rsidR="00B13725" w:rsidRPr="00780011">
        <w:rPr>
          <w:sz w:val="19"/>
          <w:szCs w:val="19"/>
        </w:rPr>
        <w:t xml:space="preserve">it does not follow that I was </w:t>
      </w:r>
      <w:r w:rsidR="00C964A2" w:rsidRPr="00780011">
        <w:rPr>
          <w:sz w:val="19"/>
          <w:szCs w:val="19"/>
        </w:rPr>
        <w:t xml:space="preserve">somehow of “no assistance” </w:t>
      </w:r>
      <w:r w:rsidR="003825F2" w:rsidRPr="00780011">
        <w:rPr>
          <w:sz w:val="19"/>
          <w:szCs w:val="19"/>
        </w:rPr>
        <w:t xml:space="preserve">to the Court. </w:t>
      </w:r>
      <w:r w:rsidR="00B13725" w:rsidRPr="00780011">
        <w:rPr>
          <w:sz w:val="19"/>
          <w:szCs w:val="19"/>
        </w:rPr>
        <w:t>It</w:t>
      </w:r>
      <w:r w:rsidR="00B74A5A" w:rsidRPr="00780011">
        <w:rPr>
          <w:sz w:val="19"/>
          <w:szCs w:val="19"/>
        </w:rPr>
        <w:t xml:space="preserve"> is not only factually wrong, but demeaning to me as </w:t>
      </w:r>
      <w:r w:rsidR="003825F2" w:rsidRPr="00780011">
        <w:rPr>
          <w:sz w:val="19"/>
          <w:szCs w:val="19"/>
        </w:rPr>
        <w:t xml:space="preserve">a professional and </w:t>
      </w:r>
      <w:r w:rsidR="00B74A5A" w:rsidRPr="00780011">
        <w:rPr>
          <w:sz w:val="19"/>
          <w:szCs w:val="19"/>
        </w:rPr>
        <w:t>counsel</w:t>
      </w:r>
      <w:r w:rsidR="00AF229D" w:rsidRPr="00780011">
        <w:rPr>
          <w:sz w:val="19"/>
          <w:szCs w:val="19"/>
        </w:rPr>
        <w:t xml:space="preserve"> with duties to the c</w:t>
      </w:r>
      <w:r w:rsidR="00B74A5A" w:rsidRPr="00780011">
        <w:rPr>
          <w:sz w:val="19"/>
          <w:szCs w:val="19"/>
        </w:rPr>
        <w:t>ourt</w:t>
      </w:r>
      <w:r w:rsidR="00AF0A8D" w:rsidRPr="00780011">
        <w:rPr>
          <w:sz w:val="19"/>
          <w:szCs w:val="19"/>
        </w:rPr>
        <w:t>;</w:t>
      </w:r>
      <w:r w:rsidR="00B13725" w:rsidRPr="00780011">
        <w:rPr>
          <w:sz w:val="19"/>
          <w:szCs w:val="19"/>
        </w:rPr>
        <w:t xml:space="preserve"> duties that I take very seriously.</w:t>
      </w:r>
      <w:r w:rsidR="00B74A5A" w:rsidRPr="00780011">
        <w:rPr>
          <w:sz w:val="19"/>
          <w:szCs w:val="19"/>
        </w:rPr>
        <w:t xml:space="preserve"> Again, I would respectfully ask this to be corrected in the Court’s reasons. </w:t>
      </w:r>
    </w:p>
    <w:p w:rsidR="00B74A5A" w:rsidRPr="00780011" w:rsidRDefault="00B74A5A" w:rsidP="001944D8">
      <w:pPr>
        <w:rPr>
          <w:sz w:val="19"/>
          <w:szCs w:val="19"/>
        </w:rPr>
      </w:pPr>
    </w:p>
    <w:p w:rsidR="00BD1B17" w:rsidRPr="00780011" w:rsidRDefault="00AB3032" w:rsidP="001944D8">
      <w:pPr>
        <w:rPr>
          <w:sz w:val="19"/>
          <w:szCs w:val="19"/>
        </w:rPr>
      </w:pPr>
      <w:r>
        <w:rPr>
          <w:sz w:val="19"/>
          <w:szCs w:val="19"/>
        </w:rPr>
        <w:t xml:space="preserve">Aside from these errors concerning my submissions, there is a fourth area of concern that needs addressing: the Court’s handing of the Crown’s second ground of appeal. During the hearing I recall very well </w:t>
      </w:r>
      <w:r w:rsidR="00BD1B17" w:rsidRPr="00780011">
        <w:rPr>
          <w:sz w:val="19"/>
          <w:szCs w:val="19"/>
        </w:rPr>
        <w:t>that the Crown only sought a new trial on first degree murder with respect to its fo</w:t>
      </w:r>
      <w:r w:rsidR="005B4F8E">
        <w:rPr>
          <w:sz w:val="19"/>
          <w:szCs w:val="19"/>
        </w:rPr>
        <w:t>urth ground of appeal</w:t>
      </w:r>
      <w:r w:rsidR="007F56A4">
        <w:rPr>
          <w:sz w:val="19"/>
          <w:szCs w:val="19"/>
        </w:rPr>
        <w:t>, that being</w:t>
      </w:r>
      <w:r w:rsidR="005B4F8E">
        <w:rPr>
          <w:sz w:val="19"/>
          <w:szCs w:val="19"/>
        </w:rPr>
        <w:t xml:space="preserve"> motive. Further, </w:t>
      </w:r>
      <w:r w:rsidR="00C23708">
        <w:rPr>
          <w:sz w:val="19"/>
          <w:szCs w:val="19"/>
        </w:rPr>
        <w:t xml:space="preserve">when </w:t>
      </w:r>
      <w:r w:rsidR="005B4F8E">
        <w:rPr>
          <w:sz w:val="19"/>
          <w:szCs w:val="19"/>
        </w:rPr>
        <w:t>t</w:t>
      </w:r>
      <w:r w:rsidR="00BD1B17" w:rsidRPr="00780011">
        <w:rPr>
          <w:sz w:val="19"/>
          <w:szCs w:val="19"/>
        </w:rPr>
        <w:t xml:space="preserve">he panel asked Crown counsel whether it was seeking a new trial </w:t>
      </w:r>
      <w:r w:rsidR="005B4F8E">
        <w:rPr>
          <w:sz w:val="19"/>
          <w:szCs w:val="19"/>
        </w:rPr>
        <w:t xml:space="preserve">on first degree murder </w:t>
      </w:r>
      <w:r w:rsidR="00BD1B17" w:rsidRPr="00780011">
        <w:rPr>
          <w:sz w:val="19"/>
          <w:szCs w:val="19"/>
        </w:rPr>
        <w:t>on any of the other grounds</w:t>
      </w:r>
      <w:r w:rsidR="007E5A39">
        <w:rPr>
          <w:sz w:val="19"/>
          <w:szCs w:val="19"/>
        </w:rPr>
        <w:t xml:space="preserve">, Crown </w:t>
      </w:r>
      <w:r w:rsidR="00C23708">
        <w:rPr>
          <w:sz w:val="19"/>
          <w:szCs w:val="19"/>
        </w:rPr>
        <w:t xml:space="preserve">counsel </w:t>
      </w:r>
      <w:r w:rsidR="007E5A39">
        <w:rPr>
          <w:sz w:val="19"/>
          <w:szCs w:val="19"/>
        </w:rPr>
        <w:t>confirmed</w:t>
      </w:r>
      <w:r w:rsidR="00BD1B17" w:rsidRPr="00780011">
        <w:rPr>
          <w:sz w:val="19"/>
          <w:szCs w:val="19"/>
        </w:rPr>
        <w:t xml:space="preserve"> that it was not. As </w:t>
      </w:r>
      <w:r w:rsidR="00BD1B17" w:rsidRPr="00780011">
        <w:rPr>
          <w:sz w:val="19"/>
          <w:szCs w:val="19"/>
        </w:rPr>
        <w:lastRenderedPageBreak/>
        <w:t>such, I provided no submissions with respect to why Mr. Barton should not be re-tried on first degree murder with respect to the remaini</w:t>
      </w:r>
      <w:r w:rsidR="005B4F8E">
        <w:rPr>
          <w:sz w:val="19"/>
          <w:szCs w:val="19"/>
        </w:rPr>
        <w:t>ng grounds</w:t>
      </w:r>
      <w:r w:rsidR="00C37451">
        <w:rPr>
          <w:sz w:val="19"/>
          <w:szCs w:val="19"/>
        </w:rPr>
        <w:t xml:space="preserve">, which </w:t>
      </w:r>
      <w:r>
        <w:rPr>
          <w:sz w:val="19"/>
          <w:szCs w:val="19"/>
        </w:rPr>
        <w:t>went to manslaughter only</w:t>
      </w:r>
      <w:r w:rsidR="005B4F8E">
        <w:rPr>
          <w:sz w:val="19"/>
          <w:szCs w:val="19"/>
        </w:rPr>
        <w:t>. Given now that the C</w:t>
      </w:r>
      <w:r w:rsidR="00BD1B17" w:rsidRPr="00780011">
        <w:rPr>
          <w:sz w:val="19"/>
          <w:szCs w:val="19"/>
        </w:rPr>
        <w:t xml:space="preserve">ourt ordered a new trial on first degree murder on the Crown’s second ground of appeal, which concerned the s. 276 Criminal Code issue, </w:t>
      </w:r>
      <w:r w:rsidR="005B4F8E">
        <w:rPr>
          <w:sz w:val="19"/>
          <w:szCs w:val="19"/>
        </w:rPr>
        <w:t xml:space="preserve">it is my position that Mr. Barton was prejudiced by having been given </w:t>
      </w:r>
      <w:r w:rsidR="00BD1B17" w:rsidRPr="00780011">
        <w:rPr>
          <w:sz w:val="19"/>
          <w:szCs w:val="19"/>
        </w:rPr>
        <w:t xml:space="preserve">no notice that the second ground of appeal could lead to a new trial for first degree murder. I realize that the Court also ordered a re-trial on first degree murder on motive, and as well, </w:t>
      </w:r>
      <w:r w:rsidR="005B4F8E">
        <w:rPr>
          <w:sz w:val="19"/>
          <w:szCs w:val="19"/>
        </w:rPr>
        <w:t>the Court’s own ground of appeal concerning after the fact conduct</w:t>
      </w:r>
      <w:r>
        <w:rPr>
          <w:sz w:val="19"/>
          <w:szCs w:val="19"/>
        </w:rPr>
        <w:t xml:space="preserve">. However, I now seek to show </w:t>
      </w:r>
      <w:r w:rsidR="007E5A39">
        <w:rPr>
          <w:sz w:val="19"/>
          <w:szCs w:val="19"/>
        </w:rPr>
        <w:t xml:space="preserve">on a contemplated leave application to the Supreme Court of Canada </w:t>
      </w:r>
      <w:r w:rsidR="00BD1B17" w:rsidRPr="00780011">
        <w:rPr>
          <w:sz w:val="19"/>
          <w:szCs w:val="19"/>
        </w:rPr>
        <w:t>that the second ground of appeal was not fairly addressed</w:t>
      </w:r>
      <w:r>
        <w:rPr>
          <w:sz w:val="19"/>
          <w:szCs w:val="19"/>
        </w:rPr>
        <w:t xml:space="preserve">, yet was </w:t>
      </w:r>
      <w:r w:rsidR="005B4F8E">
        <w:rPr>
          <w:sz w:val="19"/>
          <w:szCs w:val="19"/>
        </w:rPr>
        <w:t>ruled upon</w:t>
      </w:r>
      <w:r w:rsidR="00BD1B17" w:rsidRPr="00780011">
        <w:rPr>
          <w:sz w:val="19"/>
          <w:szCs w:val="19"/>
        </w:rPr>
        <w:t xml:space="preserve"> by the panel. As such,</w:t>
      </w:r>
      <w:r w:rsidR="007E5A39">
        <w:rPr>
          <w:sz w:val="19"/>
          <w:szCs w:val="19"/>
        </w:rPr>
        <w:t xml:space="preserve"> the handling of the</w:t>
      </w:r>
      <w:r w:rsidR="00CC4EFF">
        <w:rPr>
          <w:sz w:val="19"/>
          <w:szCs w:val="19"/>
        </w:rPr>
        <w:t xml:space="preserve"> s. 276 issue will be a discreet</w:t>
      </w:r>
      <w:r w:rsidR="007E5A39">
        <w:rPr>
          <w:sz w:val="19"/>
          <w:szCs w:val="19"/>
        </w:rPr>
        <w:t xml:space="preserve"> ground of appeal on the Leave Application. </w:t>
      </w:r>
      <w:bookmarkStart w:id="0" w:name="_GoBack"/>
      <w:bookmarkEnd w:id="0"/>
    </w:p>
    <w:p w:rsidR="00BD1B17" w:rsidRPr="00780011" w:rsidRDefault="00BD1B17" w:rsidP="001944D8">
      <w:pPr>
        <w:rPr>
          <w:sz w:val="19"/>
          <w:szCs w:val="19"/>
        </w:rPr>
      </w:pPr>
    </w:p>
    <w:p w:rsidR="00B74A5A" w:rsidRPr="00780011" w:rsidRDefault="003825F2" w:rsidP="001944D8">
      <w:pPr>
        <w:rPr>
          <w:sz w:val="19"/>
          <w:szCs w:val="19"/>
        </w:rPr>
      </w:pPr>
      <w:r w:rsidRPr="00780011">
        <w:rPr>
          <w:sz w:val="19"/>
          <w:szCs w:val="19"/>
        </w:rPr>
        <w:t>Given these errors</w:t>
      </w:r>
      <w:r w:rsidR="008F77C3" w:rsidRPr="00780011">
        <w:rPr>
          <w:sz w:val="19"/>
          <w:szCs w:val="19"/>
        </w:rPr>
        <w:t xml:space="preserve"> and rulings</w:t>
      </w:r>
      <w:r w:rsidR="00AF229D" w:rsidRPr="00780011">
        <w:rPr>
          <w:sz w:val="19"/>
          <w:szCs w:val="19"/>
        </w:rPr>
        <w:t xml:space="preserve">, </w:t>
      </w:r>
      <w:r w:rsidRPr="00780011">
        <w:rPr>
          <w:sz w:val="19"/>
          <w:szCs w:val="19"/>
        </w:rPr>
        <w:t>it</w:t>
      </w:r>
      <w:r w:rsidR="00B74A5A" w:rsidRPr="00780011">
        <w:rPr>
          <w:sz w:val="19"/>
          <w:szCs w:val="19"/>
        </w:rPr>
        <w:t xml:space="preserve"> will </w:t>
      </w:r>
      <w:r w:rsidR="0056256B" w:rsidRPr="00780011">
        <w:rPr>
          <w:sz w:val="19"/>
          <w:szCs w:val="19"/>
        </w:rPr>
        <w:t xml:space="preserve">also </w:t>
      </w:r>
      <w:r w:rsidR="003D277D" w:rsidRPr="00780011">
        <w:rPr>
          <w:sz w:val="19"/>
          <w:szCs w:val="19"/>
        </w:rPr>
        <w:t>be critical</w:t>
      </w:r>
      <w:r w:rsidR="00B74A5A" w:rsidRPr="00780011">
        <w:rPr>
          <w:sz w:val="19"/>
          <w:szCs w:val="19"/>
        </w:rPr>
        <w:t xml:space="preserve"> to obtain a transcr</w:t>
      </w:r>
      <w:r w:rsidR="007F56A4">
        <w:rPr>
          <w:sz w:val="19"/>
          <w:szCs w:val="19"/>
        </w:rPr>
        <w:t xml:space="preserve">ipt of the oral hearing to illustrate </w:t>
      </w:r>
      <w:r w:rsidR="00B74A5A" w:rsidRPr="00780011">
        <w:rPr>
          <w:sz w:val="19"/>
          <w:szCs w:val="19"/>
        </w:rPr>
        <w:t xml:space="preserve">to the Supreme Court of Canada in </w:t>
      </w:r>
      <w:r w:rsidR="007E5A39">
        <w:rPr>
          <w:sz w:val="19"/>
          <w:szCs w:val="19"/>
        </w:rPr>
        <w:t>the</w:t>
      </w:r>
      <w:r w:rsidR="005B4F8E">
        <w:rPr>
          <w:sz w:val="19"/>
          <w:szCs w:val="19"/>
        </w:rPr>
        <w:t xml:space="preserve"> </w:t>
      </w:r>
      <w:r w:rsidR="00C23708">
        <w:rPr>
          <w:sz w:val="19"/>
          <w:szCs w:val="19"/>
        </w:rPr>
        <w:t>L</w:t>
      </w:r>
      <w:r w:rsidR="00B74A5A" w:rsidRPr="00780011">
        <w:rPr>
          <w:sz w:val="19"/>
          <w:szCs w:val="19"/>
        </w:rPr>
        <w:t xml:space="preserve">eave </w:t>
      </w:r>
      <w:r w:rsidR="00C23708">
        <w:rPr>
          <w:sz w:val="19"/>
          <w:szCs w:val="19"/>
        </w:rPr>
        <w:t>A</w:t>
      </w:r>
      <w:r w:rsidR="00B74A5A" w:rsidRPr="00780011">
        <w:rPr>
          <w:sz w:val="19"/>
          <w:szCs w:val="19"/>
        </w:rPr>
        <w:t xml:space="preserve">pplication </w:t>
      </w:r>
      <w:r w:rsidR="003D277D" w:rsidRPr="00780011">
        <w:rPr>
          <w:sz w:val="19"/>
          <w:szCs w:val="19"/>
        </w:rPr>
        <w:t>that the Court of Appeal erred</w:t>
      </w:r>
      <w:r w:rsidR="00AB3032">
        <w:rPr>
          <w:sz w:val="19"/>
          <w:szCs w:val="19"/>
        </w:rPr>
        <w:t xml:space="preserve"> </w:t>
      </w:r>
      <w:r w:rsidR="007E5A39">
        <w:rPr>
          <w:sz w:val="19"/>
          <w:szCs w:val="19"/>
        </w:rPr>
        <w:t>in several ways</w:t>
      </w:r>
      <w:r w:rsidR="00B74A5A" w:rsidRPr="00780011">
        <w:rPr>
          <w:sz w:val="19"/>
          <w:szCs w:val="19"/>
        </w:rPr>
        <w:t>.</w:t>
      </w:r>
      <w:r w:rsidRPr="00780011">
        <w:rPr>
          <w:sz w:val="19"/>
          <w:szCs w:val="19"/>
        </w:rPr>
        <w:t xml:space="preserve"> </w:t>
      </w:r>
      <w:r w:rsidR="007F56A4">
        <w:rPr>
          <w:sz w:val="19"/>
          <w:szCs w:val="19"/>
        </w:rPr>
        <w:t xml:space="preserve">I expect the </w:t>
      </w:r>
      <w:r w:rsidR="0056256B" w:rsidRPr="00780011">
        <w:rPr>
          <w:sz w:val="19"/>
          <w:szCs w:val="19"/>
        </w:rPr>
        <w:t>transcript will show, f</w:t>
      </w:r>
      <w:r w:rsidR="003D277D" w:rsidRPr="00780011">
        <w:rPr>
          <w:sz w:val="19"/>
          <w:szCs w:val="19"/>
        </w:rPr>
        <w:t>irst</w:t>
      </w:r>
      <w:r w:rsidRPr="00780011">
        <w:rPr>
          <w:sz w:val="19"/>
          <w:szCs w:val="19"/>
        </w:rPr>
        <w:t>,</w:t>
      </w:r>
      <w:r w:rsidR="003D277D" w:rsidRPr="00780011">
        <w:rPr>
          <w:sz w:val="19"/>
          <w:szCs w:val="19"/>
        </w:rPr>
        <w:t xml:space="preserve"> that</w:t>
      </w:r>
      <w:r w:rsidRPr="00780011">
        <w:rPr>
          <w:sz w:val="19"/>
          <w:szCs w:val="19"/>
        </w:rPr>
        <w:t xml:space="preserve"> defence counsel did not admit that the trial judge erred in law on his charge on post offence conduct. </w:t>
      </w:r>
      <w:r w:rsidR="003D277D" w:rsidRPr="00780011">
        <w:rPr>
          <w:sz w:val="19"/>
          <w:szCs w:val="19"/>
        </w:rPr>
        <w:t>Second,</w:t>
      </w:r>
      <w:r w:rsidR="005B4F8E">
        <w:rPr>
          <w:sz w:val="19"/>
          <w:szCs w:val="19"/>
        </w:rPr>
        <w:t xml:space="preserve"> that the Crown confirmed that only the fourth ground of appeal could lead to a new trial on first degree murder and</w:t>
      </w:r>
      <w:r w:rsidR="00AB3032">
        <w:rPr>
          <w:sz w:val="19"/>
          <w:szCs w:val="19"/>
        </w:rPr>
        <w:t xml:space="preserve">, as a result, </w:t>
      </w:r>
      <w:r w:rsidR="007F56A4">
        <w:rPr>
          <w:sz w:val="19"/>
          <w:szCs w:val="19"/>
        </w:rPr>
        <w:t xml:space="preserve">I </w:t>
      </w:r>
      <w:r w:rsidR="005B4F8E">
        <w:rPr>
          <w:sz w:val="19"/>
          <w:szCs w:val="19"/>
        </w:rPr>
        <w:t>did not argue that any of the other grounds could</w:t>
      </w:r>
      <w:r w:rsidR="007E5A39">
        <w:rPr>
          <w:sz w:val="19"/>
          <w:szCs w:val="19"/>
        </w:rPr>
        <w:t xml:space="preserve"> not</w:t>
      </w:r>
      <w:r w:rsidR="005B4F8E">
        <w:rPr>
          <w:sz w:val="19"/>
          <w:szCs w:val="19"/>
        </w:rPr>
        <w:t xml:space="preserve"> lead to a re-trial on first degree murder. Third, </w:t>
      </w:r>
      <w:r w:rsidR="003D277D" w:rsidRPr="00780011">
        <w:rPr>
          <w:sz w:val="19"/>
          <w:szCs w:val="19"/>
        </w:rPr>
        <w:t>the transcript will assist</w:t>
      </w:r>
      <w:r w:rsidR="00B74A5A" w:rsidRPr="00780011">
        <w:rPr>
          <w:sz w:val="19"/>
          <w:szCs w:val="19"/>
        </w:rPr>
        <w:t xml:space="preserve"> in proving to all legal observers that I </w:t>
      </w:r>
      <w:r w:rsidR="00F50661" w:rsidRPr="00780011">
        <w:rPr>
          <w:sz w:val="19"/>
          <w:szCs w:val="19"/>
        </w:rPr>
        <w:t>did not advocate during the hearing</w:t>
      </w:r>
      <w:r w:rsidR="00B74A5A" w:rsidRPr="00780011">
        <w:rPr>
          <w:sz w:val="19"/>
          <w:szCs w:val="19"/>
        </w:rPr>
        <w:t xml:space="preserve"> – </w:t>
      </w:r>
      <w:r w:rsidR="002D1A7B" w:rsidRPr="00780011">
        <w:rPr>
          <w:sz w:val="19"/>
          <w:szCs w:val="19"/>
        </w:rPr>
        <w:t xml:space="preserve">even </w:t>
      </w:r>
      <w:r w:rsidR="00B74A5A" w:rsidRPr="00780011">
        <w:rPr>
          <w:sz w:val="19"/>
          <w:szCs w:val="19"/>
        </w:rPr>
        <w:t xml:space="preserve">for one moment – that a woman is in a perpetual state of sexual consent until she says, “No”, </w:t>
      </w:r>
      <w:r w:rsidR="002D1A7B" w:rsidRPr="00780011">
        <w:rPr>
          <w:sz w:val="19"/>
          <w:szCs w:val="19"/>
        </w:rPr>
        <w:t xml:space="preserve">or that men are </w:t>
      </w:r>
      <w:r w:rsidR="00F50661" w:rsidRPr="00780011">
        <w:rPr>
          <w:sz w:val="19"/>
          <w:szCs w:val="19"/>
        </w:rPr>
        <w:t xml:space="preserve">somehow </w:t>
      </w:r>
      <w:r w:rsidR="002D1A7B" w:rsidRPr="00780011">
        <w:rPr>
          <w:sz w:val="19"/>
          <w:szCs w:val="19"/>
        </w:rPr>
        <w:t xml:space="preserve">bewildered </w:t>
      </w:r>
      <w:r w:rsidR="00B13725" w:rsidRPr="00780011">
        <w:rPr>
          <w:sz w:val="19"/>
          <w:szCs w:val="19"/>
        </w:rPr>
        <w:t xml:space="preserve">by the notion </w:t>
      </w:r>
      <w:r w:rsidR="002D1A7B" w:rsidRPr="00780011">
        <w:rPr>
          <w:sz w:val="19"/>
          <w:szCs w:val="19"/>
        </w:rPr>
        <w:t>that this is not so. M</w:t>
      </w:r>
      <w:r w:rsidR="00AF229D" w:rsidRPr="00780011">
        <w:rPr>
          <w:sz w:val="19"/>
          <w:szCs w:val="19"/>
        </w:rPr>
        <w:t xml:space="preserve">y remark was </w:t>
      </w:r>
      <w:r w:rsidR="00B74A5A" w:rsidRPr="00780011">
        <w:rPr>
          <w:sz w:val="19"/>
          <w:szCs w:val="19"/>
        </w:rPr>
        <w:t xml:space="preserve">confined to </w:t>
      </w:r>
      <w:r w:rsidR="00156E74" w:rsidRPr="00780011">
        <w:rPr>
          <w:sz w:val="19"/>
          <w:szCs w:val="19"/>
        </w:rPr>
        <w:t>making the point</w:t>
      </w:r>
      <w:r w:rsidR="00B13725" w:rsidRPr="00780011">
        <w:rPr>
          <w:sz w:val="19"/>
          <w:szCs w:val="19"/>
        </w:rPr>
        <w:t xml:space="preserve"> that Mr. Barton believed he had Ms. Gladue’s consent </w:t>
      </w:r>
      <w:r w:rsidR="00B13725" w:rsidRPr="00780011">
        <w:rPr>
          <w:i/>
          <w:sz w:val="19"/>
          <w:szCs w:val="19"/>
        </w:rPr>
        <w:t>because</w:t>
      </w:r>
      <w:r w:rsidR="007F56A4">
        <w:rPr>
          <w:sz w:val="19"/>
          <w:szCs w:val="19"/>
        </w:rPr>
        <w:t xml:space="preserve"> he had taken reasonable</w:t>
      </w:r>
      <w:r w:rsidR="00B13725" w:rsidRPr="00780011">
        <w:rPr>
          <w:sz w:val="19"/>
          <w:szCs w:val="19"/>
        </w:rPr>
        <w:t xml:space="preserve"> steps. </w:t>
      </w:r>
      <w:r w:rsidR="005B4F8E">
        <w:rPr>
          <w:sz w:val="19"/>
          <w:szCs w:val="19"/>
        </w:rPr>
        <w:t>Fourth</w:t>
      </w:r>
      <w:r w:rsidR="00156E74" w:rsidRPr="00780011">
        <w:rPr>
          <w:sz w:val="19"/>
          <w:szCs w:val="19"/>
        </w:rPr>
        <w:t xml:space="preserve">, I wish to show all legal observers that I did not fail in my duties to the Court to provide assistance when called upon to do so. </w:t>
      </w:r>
    </w:p>
    <w:p w:rsidR="00156E74" w:rsidRPr="00780011" w:rsidRDefault="00156E74" w:rsidP="001944D8">
      <w:pPr>
        <w:rPr>
          <w:sz w:val="19"/>
          <w:szCs w:val="19"/>
        </w:rPr>
      </w:pPr>
    </w:p>
    <w:p w:rsidR="002D1A7B" w:rsidRPr="00780011" w:rsidRDefault="00156E74" w:rsidP="001944D8">
      <w:pPr>
        <w:rPr>
          <w:sz w:val="19"/>
          <w:szCs w:val="19"/>
        </w:rPr>
      </w:pPr>
      <w:r w:rsidRPr="00780011">
        <w:rPr>
          <w:sz w:val="19"/>
          <w:szCs w:val="19"/>
        </w:rPr>
        <w:t xml:space="preserve">I have reviewed this Court’s decision in </w:t>
      </w:r>
      <w:r w:rsidRPr="00780011">
        <w:rPr>
          <w:b/>
          <w:i/>
          <w:sz w:val="19"/>
          <w:szCs w:val="19"/>
        </w:rPr>
        <w:t>McDonald</w:t>
      </w:r>
      <w:r w:rsidRPr="00780011">
        <w:rPr>
          <w:i/>
          <w:sz w:val="19"/>
          <w:szCs w:val="19"/>
        </w:rPr>
        <w:t xml:space="preserve"> </w:t>
      </w:r>
      <w:r w:rsidRPr="00780011">
        <w:rPr>
          <w:b/>
          <w:i/>
          <w:sz w:val="19"/>
          <w:szCs w:val="19"/>
        </w:rPr>
        <w:t>v Brookfield Asset Management</w:t>
      </w:r>
      <w:r w:rsidRPr="00780011">
        <w:rPr>
          <w:sz w:val="19"/>
          <w:szCs w:val="19"/>
        </w:rPr>
        <w:t>, 2016 ABCA 375 wherein the panel denied a request to produce a transcript of oral argument when asked to do so by the appellant concerning the confirmation of a ruling on the admissibility of evidence and to clarify the “discussions surrounding” certain issues during oral argument with a view to determining whether the reasons for the decision overlooked or incorrectly applied some of the relative statutory wording or evidence. My request is not based on either of these issues. Rather, my request for the transcript is to show</w:t>
      </w:r>
      <w:r w:rsidR="007A2D6D">
        <w:rPr>
          <w:sz w:val="19"/>
          <w:szCs w:val="19"/>
        </w:rPr>
        <w:t xml:space="preserve"> what both</w:t>
      </w:r>
      <w:r w:rsidR="0056256B" w:rsidRPr="00780011">
        <w:rPr>
          <w:sz w:val="19"/>
          <w:szCs w:val="19"/>
        </w:rPr>
        <w:t xml:space="preserve"> counsel actually submitted</w:t>
      </w:r>
      <w:r w:rsidR="003D277D" w:rsidRPr="00780011">
        <w:rPr>
          <w:sz w:val="19"/>
          <w:szCs w:val="19"/>
        </w:rPr>
        <w:t xml:space="preserve"> in oral argument to this Court</w:t>
      </w:r>
      <w:r w:rsidR="007A2D6D">
        <w:rPr>
          <w:sz w:val="19"/>
          <w:szCs w:val="19"/>
        </w:rPr>
        <w:t>, and the reasons thereof,</w:t>
      </w:r>
      <w:r w:rsidR="0056256B" w:rsidRPr="00780011">
        <w:rPr>
          <w:sz w:val="19"/>
          <w:szCs w:val="19"/>
        </w:rPr>
        <w:t xml:space="preserve"> and to correct</w:t>
      </w:r>
      <w:r w:rsidR="00935966">
        <w:rPr>
          <w:sz w:val="19"/>
          <w:szCs w:val="19"/>
        </w:rPr>
        <w:t xml:space="preserve"> and </w:t>
      </w:r>
      <w:r w:rsidR="007A2D6D">
        <w:rPr>
          <w:sz w:val="19"/>
          <w:szCs w:val="19"/>
        </w:rPr>
        <w:t>address</w:t>
      </w:r>
      <w:r w:rsidR="00AF229D" w:rsidRPr="00780011">
        <w:rPr>
          <w:sz w:val="19"/>
          <w:szCs w:val="19"/>
        </w:rPr>
        <w:t xml:space="preserve"> the associated errors </w:t>
      </w:r>
      <w:r w:rsidR="007A2D6D">
        <w:rPr>
          <w:sz w:val="19"/>
          <w:szCs w:val="19"/>
        </w:rPr>
        <w:t xml:space="preserve">and rulings </w:t>
      </w:r>
      <w:r w:rsidR="00AF229D" w:rsidRPr="00780011">
        <w:rPr>
          <w:sz w:val="19"/>
          <w:szCs w:val="19"/>
        </w:rPr>
        <w:t>currently in the judgement</w:t>
      </w:r>
      <w:r w:rsidRPr="00780011">
        <w:rPr>
          <w:sz w:val="19"/>
          <w:szCs w:val="19"/>
        </w:rPr>
        <w:t xml:space="preserve">. </w:t>
      </w:r>
    </w:p>
    <w:p w:rsidR="002D1A7B" w:rsidRPr="00780011" w:rsidRDefault="002D1A7B" w:rsidP="001944D8">
      <w:pPr>
        <w:rPr>
          <w:sz w:val="19"/>
          <w:szCs w:val="19"/>
        </w:rPr>
      </w:pPr>
    </w:p>
    <w:p w:rsidR="00156E74" w:rsidRPr="00780011" w:rsidRDefault="00156E74" w:rsidP="001944D8">
      <w:pPr>
        <w:rPr>
          <w:sz w:val="19"/>
          <w:szCs w:val="19"/>
        </w:rPr>
      </w:pPr>
      <w:r w:rsidRPr="00780011">
        <w:rPr>
          <w:sz w:val="19"/>
          <w:szCs w:val="19"/>
        </w:rPr>
        <w:t>As counsel for Mr. Barton, like all c</w:t>
      </w:r>
      <w:r w:rsidR="005115D7" w:rsidRPr="00780011">
        <w:rPr>
          <w:sz w:val="19"/>
          <w:szCs w:val="19"/>
        </w:rPr>
        <w:t>ounsel that appear before this h</w:t>
      </w:r>
      <w:r w:rsidRPr="00780011">
        <w:rPr>
          <w:sz w:val="19"/>
          <w:szCs w:val="19"/>
        </w:rPr>
        <w:t xml:space="preserve">onourable Court, I am at the mercy of the Court </w:t>
      </w:r>
      <w:r w:rsidR="003D277D" w:rsidRPr="00780011">
        <w:rPr>
          <w:sz w:val="19"/>
          <w:szCs w:val="19"/>
        </w:rPr>
        <w:t>when</w:t>
      </w:r>
      <w:r w:rsidR="008F77C3" w:rsidRPr="00780011">
        <w:rPr>
          <w:sz w:val="19"/>
          <w:szCs w:val="19"/>
        </w:rPr>
        <w:t xml:space="preserve"> it chooses in its judgements to describe </w:t>
      </w:r>
      <w:r w:rsidR="00F76892" w:rsidRPr="00780011">
        <w:rPr>
          <w:sz w:val="19"/>
          <w:szCs w:val="19"/>
        </w:rPr>
        <w:t xml:space="preserve">the </w:t>
      </w:r>
      <w:r w:rsidR="003D277D" w:rsidRPr="00780011">
        <w:rPr>
          <w:sz w:val="19"/>
          <w:szCs w:val="19"/>
        </w:rPr>
        <w:t xml:space="preserve">conduct and </w:t>
      </w:r>
      <w:r w:rsidR="008F77C3" w:rsidRPr="00780011">
        <w:rPr>
          <w:sz w:val="19"/>
          <w:szCs w:val="19"/>
        </w:rPr>
        <w:t>submissions of counsel</w:t>
      </w:r>
      <w:r w:rsidR="003D277D" w:rsidRPr="00780011">
        <w:rPr>
          <w:sz w:val="19"/>
          <w:szCs w:val="19"/>
        </w:rPr>
        <w:t xml:space="preserve"> because </w:t>
      </w:r>
      <w:r w:rsidR="00AF229D" w:rsidRPr="00780011">
        <w:rPr>
          <w:sz w:val="19"/>
          <w:szCs w:val="19"/>
        </w:rPr>
        <w:t>transcript</w:t>
      </w:r>
      <w:r w:rsidR="003D277D" w:rsidRPr="00780011">
        <w:rPr>
          <w:sz w:val="19"/>
          <w:szCs w:val="19"/>
        </w:rPr>
        <w:t>s of</w:t>
      </w:r>
      <w:r w:rsidR="00AF229D" w:rsidRPr="00780011">
        <w:rPr>
          <w:sz w:val="19"/>
          <w:szCs w:val="19"/>
        </w:rPr>
        <w:t xml:space="preserve"> proceeding</w:t>
      </w:r>
      <w:r w:rsidR="003D277D" w:rsidRPr="00780011">
        <w:rPr>
          <w:sz w:val="19"/>
          <w:szCs w:val="19"/>
        </w:rPr>
        <w:t>s before the Court are</w:t>
      </w:r>
      <w:r w:rsidR="00AF229D" w:rsidRPr="00780011">
        <w:rPr>
          <w:sz w:val="19"/>
          <w:szCs w:val="19"/>
        </w:rPr>
        <w:t xml:space="preserve"> not made available to the public</w:t>
      </w:r>
      <w:r w:rsidR="00F76892" w:rsidRPr="00780011">
        <w:rPr>
          <w:sz w:val="19"/>
          <w:szCs w:val="19"/>
        </w:rPr>
        <w:t xml:space="preserve">. </w:t>
      </w:r>
      <w:r w:rsidRPr="00780011">
        <w:rPr>
          <w:sz w:val="19"/>
          <w:szCs w:val="19"/>
        </w:rPr>
        <w:t>When</w:t>
      </w:r>
      <w:r w:rsidR="00F76892" w:rsidRPr="00780011">
        <w:rPr>
          <w:sz w:val="19"/>
          <w:szCs w:val="19"/>
        </w:rPr>
        <w:t xml:space="preserve"> the Court erroneously describes those submissions or conduct</w:t>
      </w:r>
      <w:r w:rsidR="00AB3032">
        <w:rPr>
          <w:sz w:val="19"/>
          <w:szCs w:val="19"/>
        </w:rPr>
        <w:t>,</w:t>
      </w:r>
      <w:r w:rsidR="00F76892" w:rsidRPr="00780011">
        <w:rPr>
          <w:sz w:val="19"/>
          <w:szCs w:val="19"/>
        </w:rPr>
        <w:t xml:space="preserve"> </w:t>
      </w:r>
      <w:r w:rsidR="003D277D" w:rsidRPr="00780011">
        <w:rPr>
          <w:sz w:val="19"/>
          <w:szCs w:val="19"/>
        </w:rPr>
        <w:t>counsel must</w:t>
      </w:r>
      <w:r w:rsidR="00AF229D" w:rsidRPr="00780011">
        <w:rPr>
          <w:sz w:val="19"/>
          <w:szCs w:val="19"/>
        </w:rPr>
        <w:t xml:space="preserve"> </w:t>
      </w:r>
      <w:r w:rsidRPr="00780011">
        <w:rPr>
          <w:sz w:val="19"/>
          <w:szCs w:val="19"/>
        </w:rPr>
        <w:t xml:space="preserve">have </w:t>
      </w:r>
      <w:r w:rsidR="00B13725" w:rsidRPr="00780011">
        <w:rPr>
          <w:sz w:val="19"/>
          <w:szCs w:val="19"/>
        </w:rPr>
        <w:t>recourse</w:t>
      </w:r>
      <w:r w:rsidR="003D277D" w:rsidRPr="00780011">
        <w:rPr>
          <w:sz w:val="19"/>
          <w:szCs w:val="19"/>
        </w:rPr>
        <w:t xml:space="preserve"> to the record to remedy the error </w:t>
      </w:r>
      <w:r w:rsidR="00B13725" w:rsidRPr="00780011">
        <w:rPr>
          <w:sz w:val="19"/>
          <w:szCs w:val="19"/>
        </w:rPr>
        <w:t xml:space="preserve">and the adverse impact on one’s professional reputation. </w:t>
      </w:r>
      <w:r w:rsidR="00752ABF">
        <w:rPr>
          <w:sz w:val="19"/>
          <w:szCs w:val="19"/>
        </w:rPr>
        <w:t>Similarly, counsel must also have access to the transcripts to illustrate procedural unfairness in leaves and appeals to the Supreme Court of Canada.</w:t>
      </w:r>
    </w:p>
    <w:p w:rsidR="00156E74" w:rsidRPr="00780011" w:rsidRDefault="00156E74" w:rsidP="001944D8">
      <w:pPr>
        <w:rPr>
          <w:sz w:val="19"/>
          <w:szCs w:val="19"/>
        </w:rPr>
      </w:pPr>
    </w:p>
    <w:p w:rsidR="00156E74" w:rsidRPr="00780011" w:rsidRDefault="00156E74" w:rsidP="001944D8">
      <w:pPr>
        <w:rPr>
          <w:sz w:val="19"/>
          <w:szCs w:val="19"/>
        </w:rPr>
      </w:pPr>
      <w:r w:rsidRPr="00780011">
        <w:rPr>
          <w:sz w:val="19"/>
          <w:szCs w:val="19"/>
        </w:rPr>
        <w:t xml:space="preserve">Should you have any questions or concerns before addressing my requests I would be pleased </w:t>
      </w:r>
      <w:r w:rsidR="0065141A" w:rsidRPr="00780011">
        <w:rPr>
          <w:sz w:val="19"/>
          <w:szCs w:val="19"/>
        </w:rPr>
        <w:t>to</w:t>
      </w:r>
      <w:r w:rsidRPr="00780011">
        <w:rPr>
          <w:sz w:val="19"/>
          <w:szCs w:val="19"/>
        </w:rPr>
        <w:t xml:space="preserve"> discuss the matter with you either in person or in writing. </w:t>
      </w:r>
    </w:p>
    <w:p w:rsidR="009C5D44" w:rsidRPr="00780011" w:rsidRDefault="009C5D44" w:rsidP="001944D8">
      <w:pPr>
        <w:rPr>
          <w:sz w:val="19"/>
          <w:szCs w:val="19"/>
        </w:rPr>
      </w:pPr>
    </w:p>
    <w:p w:rsidR="009C5D44" w:rsidRPr="00780011" w:rsidRDefault="009C5D44" w:rsidP="00FF632D">
      <w:pPr>
        <w:rPr>
          <w:sz w:val="19"/>
          <w:szCs w:val="19"/>
        </w:rPr>
      </w:pPr>
      <w:r w:rsidRPr="00780011">
        <w:rPr>
          <w:sz w:val="19"/>
          <w:szCs w:val="19"/>
        </w:rPr>
        <w:t xml:space="preserve">Yours truly, </w:t>
      </w:r>
    </w:p>
    <w:p w:rsidR="009C5D44" w:rsidRPr="00780011" w:rsidRDefault="009C5D44" w:rsidP="00FF632D">
      <w:pPr>
        <w:rPr>
          <w:sz w:val="19"/>
          <w:szCs w:val="19"/>
        </w:rPr>
      </w:pPr>
      <w:r w:rsidRPr="00780011">
        <w:rPr>
          <w:sz w:val="19"/>
          <w:szCs w:val="19"/>
        </w:rPr>
        <w:t>BOTTOS LAW GROUP</w:t>
      </w:r>
    </w:p>
    <w:p w:rsidR="009C5D44" w:rsidRPr="00780011" w:rsidRDefault="009C5D44" w:rsidP="00FF632D">
      <w:pPr>
        <w:rPr>
          <w:sz w:val="19"/>
          <w:szCs w:val="19"/>
        </w:rPr>
      </w:pPr>
      <w:r w:rsidRPr="00780011">
        <w:rPr>
          <w:sz w:val="19"/>
          <w:szCs w:val="19"/>
        </w:rPr>
        <w:t>PER:</w:t>
      </w:r>
    </w:p>
    <w:p w:rsidR="009C5D44" w:rsidRPr="00780011" w:rsidRDefault="009C5D44" w:rsidP="00FF632D">
      <w:pPr>
        <w:rPr>
          <w:sz w:val="19"/>
          <w:szCs w:val="19"/>
        </w:rPr>
      </w:pPr>
    </w:p>
    <w:p w:rsidR="009C5D44" w:rsidRPr="00780011" w:rsidRDefault="009C5D44" w:rsidP="00A31EC8">
      <w:pPr>
        <w:spacing w:before="240"/>
        <w:rPr>
          <w:sz w:val="19"/>
          <w:szCs w:val="19"/>
        </w:rPr>
      </w:pPr>
      <w:r w:rsidRPr="00780011">
        <w:rPr>
          <w:sz w:val="19"/>
          <w:szCs w:val="19"/>
        </w:rPr>
        <w:t>DINO BOTTOS</w:t>
      </w:r>
    </w:p>
    <w:p w:rsidR="009C5D44" w:rsidRPr="00780011" w:rsidRDefault="009C5D44" w:rsidP="00A31EC8">
      <w:pPr>
        <w:rPr>
          <w:sz w:val="19"/>
          <w:szCs w:val="19"/>
        </w:rPr>
      </w:pPr>
      <w:r w:rsidRPr="00780011">
        <w:rPr>
          <w:sz w:val="19"/>
          <w:szCs w:val="19"/>
        </w:rPr>
        <w:t>DB/sh</w:t>
      </w:r>
    </w:p>
    <w:p w:rsidR="009C5D44" w:rsidRPr="00780011" w:rsidRDefault="009C5D44" w:rsidP="001944D8">
      <w:pPr>
        <w:rPr>
          <w:sz w:val="19"/>
          <w:szCs w:val="19"/>
        </w:rPr>
      </w:pPr>
    </w:p>
    <w:p w:rsidR="00FC3842" w:rsidRDefault="00AB3032" w:rsidP="001944D8">
      <w:pPr>
        <w:rPr>
          <w:sz w:val="19"/>
          <w:szCs w:val="19"/>
        </w:rPr>
      </w:pPr>
      <w:r>
        <w:rPr>
          <w:sz w:val="19"/>
          <w:szCs w:val="19"/>
        </w:rPr>
        <w:t>cc:</w:t>
      </w:r>
      <w:r>
        <w:rPr>
          <w:sz w:val="19"/>
          <w:szCs w:val="19"/>
        </w:rPr>
        <w:tab/>
        <w:t>Mr. Justice J. Watson</w:t>
      </w:r>
      <w:r w:rsidR="00554CD6">
        <w:rPr>
          <w:sz w:val="19"/>
          <w:szCs w:val="19"/>
        </w:rPr>
        <w:t xml:space="preserve"> (Via Fax Only: 780-422-4127)</w:t>
      </w:r>
    </w:p>
    <w:p w:rsidR="00AB3032" w:rsidRDefault="00AB3032" w:rsidP="001944D8">
      <w:pPr>
        <w:rPr>
          <w:sz w:val="19"/>
          <w:szCs w:val="19"/>
        </w:rPr>
      </w:pPr>
      <w:r>
        <w:rPr>
          <w:sz w:val="19"/>
          <w:szCs w:val="19"/>
        </w:rPr>
        <w:tab/>
        <w:t>Madam Justice S. Martin</w:t>
      </w:r>
      <w:r w:rsidR="00554CD6">
        <w:rPr>
          <w:sz w:val="19"/>
          <w:szCs w:val="19"/>
        </w:rPr>
        <w:t xml:space="preserve"> (Via Fax Only: 780-422-4127)</w:t>
      </w:r>
    </w:p>
    <w:p w:rsidR="00AB3032" w:rsidRPr="00780011" w:rsidRDefault="00AB3032" w:rsidP="001944D8">
      <w:pPr>
        <w:rPr>
          <w:sz w:val="19"/>
          <w:szCs w:val="19"/>
        </w:rPr>
      </w:pPr>
      <w:r>
        <w:rPr>
          <w:sz w:val="19"/>
          <w:szCs w:val="19"/>
        </w:rPr>
        <w:tab/>
        <w:t xml:space="preserve">Ms. Joanna Dartana </w:t>
      </w:r>
      <w:r w:rsidR="00554CD6">
        <w:rPr>
          <w:sz w:val="19"/>
          <w:szCs w:val="19"/>
        </w:rPr>
        <w:t xml:space="preserve">(Via Fax Only: </w:t>
      </w:r>
      <w:r w:rsidR="00554CD6" w:rsidRPr="00554CD6">
        <w:rPr>
          <w:sz w:val="19"/>
          <w:szCs w:val="19"/>
        </w:rPr>
        <w:t>780 422-1106</w:t>
      </w:r>
      <w:r w:rsidR="00554CD6">
        <w:rPr>
          <w:sz w:val="19"/>
          <w:szCs w:val="19"/>
        </w:rPr>
        <w:t>)</w:t>
      </w:r>
    </w:p>
    <w:sectPr w:rsidR="00AB3032" w:rsidRPr="00780011" w:rsidSect="001944D8">
      <w:headerReference w:type="default" r:id="rId9"/>
      <w:footerReference w:type="default" r:id="rId10"/>
      <w:pgSz w:w="12240" w:h="15840" w:code="1"/>
      <w:pgMar w:top="1440" w:right="1080" w:bottom="1440" w:left="1080" w:header="56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0D9" w:rsidRPr="00780011" w:rsidRDefault="000030D9">
      <w:pPr>
        <w:rPr>
          <w:sz w:val="19"/>
          <w:szCs w:val="19"/>
        </w:rPr>
      </w:pPr>
      <w:r w:rsidRPr="00780011">
        <w:rPr>
          <w:sz w:val="19"/>
          <w:szCs w:val="19"/>
        </w:rPr>
        <w:separator/>
      </w:r>
    </w:p>
  </w:endnote>
  <w:endnote w:type="continuationSeparator" w:id="0">
    <w:p w:rsidR="000030D9" w:rsidRPr="00780011" w:rsidRDefault="000030D9">
      <w:pPr>
        <w:rPr>
          <w:sz w:val="19"/>
          <w:szCs w:val="19"/>
        </w:rPr>
      </w:pPr>
      <w:r w:rsidRPr="00780011">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D" w:rsidRPr="00780011" w:rsidRDefault="009729DD">
    <w:pPr>
      <w:pStyle w:val="Footer"/>
      <w:jc w:val="right"/>
      <w:rPr>
        <w:sz w:val="19"/>
        <w:szCs w:val="19"/>
      </w:rPr>
    </w:pPr>
  </w:p>
  <w:p w:rsidR="00987DA6" w:rsidRPr="00780011" w:rsidRDefault="00987DA6">
    <w:pPr>
      <w:pStyle w:val="Footer"/>
      <w:jc w:val="cente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0D9" w:rsidRPr="00780011" w:rsidRDefault="000030D9">
      <w:pPr>
        <w:rPr>
          <w:sz w:val="19"/>
          <w:szCs w:val="19"/>
        </w:rPr>
      </w:pPr>
      <w:r w:rsidRPr="00780011">
        <w:rPr>
          <w:sz w:val="19"/>
          <w:szCs w:val="19"/>
        </w:rPr>
        <w:separator/>
      </w:r>
    </w:p>
  </w:footnote>
  <w:footnote w:type="continuationSeparator" w:id="0">
    <w:p w:rsidR="000030D9" w:rsidRPr="00780011" w:rsidRDefault="000030D9">
      <w:pPr>
        <w:rPr>
          <w:sz w:val="19"/>
          <w:szCs w:val="19"/>
        </w:rPr>
      </w:pPr>
      <w:r w:rsidRPr="00780011">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9"/>
        <w:szCs w:val="19"/>
      </w:rPr>
      <w:id w:val="-453705048"/>
      <w:docPartObj>
        <w:docPartGallery w:val="Page Numbers (Top of Page)"/>
        <w:docPartUnique/>
      </w:docPartObj>
    </w:sdtPr>
    <w:sdtEndPr>
      <w:rPr>
        <w:noProof/>
      </w:rPr>
    </w:sdtEndPr>
    <w:sdtContent>
      <w:p w:rsidR="001944D8" w:rsidRPr="00780011" w:rsidRDefault="001944D8">
        <w:pPr>
          <w:pStyle w:val="Header"/>
          <w:jc w:val="center"/>
          <w:rPr>
            <w:sz w:val="19"/>
            <w:szCs w:val="19"/>
          </w:rPr>
        </w:pPr>
        <w:r w:rsidRPr="00780011">
          <w:rPr>
            <w:sz w:val="19"/>
            <w:szCs w:val="19"/>
          </w:rPr>
          <w:fldChar w:fldCharType="begin"/>
        </w:r>
        <w:r w:rsidRPr="00780011">
          <w:rPr>
            <w:sz w:val="19"/>
            <w:szCs w:val="19"/>
          </w:rPr>
          <w:instrText xml:space="preserve"> PAGE   \* MERGEFORMAT </w:instrText>
        </w:r>
        <w:r w:rsidRPr="00780011">
          <w:rPr>
            <w:sz w:val="19"/>
            <w:szCs w:val="19"/>
          </w:rPr>
          <w:fldChar w:fldCharType="separate"/>
        </w:r>
        <w:r w:rsidR="00CC4EFF">
          <w:rPr>
            <w:noProof/>
            <w:sz w:val="19"/>
            <w:szCs w:val="19"/>
          </w:rPr>
          <w:t>3</w:t>
        </w:r>
        <w:r w:rsidRPr="00780011">
          <w:rPr>
            <w:noProof/>
            <w:sz w:val="19"/>
            <w:szCs w:val="19"/>
          </w:rPr>
          <w:fldChar w:fldCharType="end"/>
        </w:r>
      </w:p>
    </w:sdtContent>
  </w:sdt>
  <w:p w:rsidR="001944D8" w:rsidRPr="00780011" w:rsidRDefault="001944D8">
    <w:pPr>
      <w:pStyle w:val="Header"/>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9E4"/>
    <w:multiLevelType w:val="hybridMultilevel"/>
    <w:tmpl w:val="96DCF9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3746B25"/>
    <w:multiLevelType w:val="hybridMultilevel"/>
    <w:tmpl w:val="28AA785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208C4090"/>
    <w:multiLevelType w:val="hybridMultilevel"/>
    <w:tmpl w:val="6F1849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2B0A5081"/>
    <w:multiLevelType w:val="hybridMultilevel"/>
    <w:tmpl w:val="31EA2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94518D"/>
    <w:multiLevelType w:val="hybridMultilevel"/>
    <w:tmpl w:val="05A49EDE"/>
    <w:lvl w:ilvl="0" w:tplc="3028E9DA">
      <w:start w:val="2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E162C3"/>
    <w:multiLevelType w:val="hybridMultilevel"/>
    <w:tmpl w:val="290409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82D2CFD"/>
    <w:multiLevelType w:val="hybridMultilevel"/>
    <w:tmpl w:val="6F1849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4E7518CC"/>
    <w:multiLevelType w:val="hybridMultilevel"/>
    <w:tmpl w:val="FF7E09FA"/>
    <w:lvl w:ilvl="0" w:tplc="FF10A51C">
      <w:start w:val="1"/>
      <w:numFmt w:val="lowerRoman"/>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604C1EF0"/>
    <w:multiLevelType w:val="hybridMultilevel"/>
    <w:tmpl w:val="0D32874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627B66A7"/>
    <w:multiLevelType w:val="hybridMultilevel"/>
    <w:tmpl w:val="2730C3C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6BCB0895"/>
    <w:multiLevelType w:val="hybridMultilevel"/>
    <w:tmpl w:val="E73EEF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701C2A62"/>
    <w:multiLevelType w:val="hybridMultilevel"/>
    <w:tmpl w:val="33F4A676"/>
    <w:lvl w:ilvl="0" w:tplc="CD9200D8">
      <w:start w:val="1"/>
      <w:numFmt w:val="decimal"/>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74187E83"/>
    <w:multiLevelType w:val="hybridMultilevel"/>
    <w:tmpl w:val="55FE7AA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7F0C3F50"/>
    <w:multiLevelType w:val="hybridMultilevel"/>
    <w:tmpl w:val="28AA785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4"/>
  </w:num>
  <w:num w:numId="3">
    <w:abstractNumId w:val="11"/>
  </w:num>
  <w:num w:numId="4">
    <w:abstractNumId w:val="10"/>
  </w:num>
  <w:num w:numId="5">
    <w:abstractNumId w:val="5"/>
  </w:num>
  <w:num w:numId="6">
    <w:abstractNumId w:val="8"/>
  </w:num>
  <w:num w:numId="7">
    <w:abstractNumId w:val="6"/>
  </w:num>
  <w:num w:numId="8">
    <w:abstractNumId w:val="2"/>
  </w:num>
  <w:num w:numId="9">
    <w:abstractNumId w:val="0"/>
  </w:num>
  <w:num w:numId="10">
    <w:abstractNumId w:val="1"/>
  </w:num>
  <w:num w:numId="11">
    <w:abstractNumId w:val="9"/>
  </w:num>
  <w:num w:numId="12">
    <w:abstractNumId w:val="1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3B4"/>
    <w:rsid w:val="000030D9"/>
    <w:rsid w:val="000074B8"/>
    <w:rsid w:val="00017E49"/>
    <w:rsid w:val="00023028"/>
    <w:rsid w:val="00024805"/>
    <w:rsid w:val="00025CF1"/>
    <w:rsid w:val="000345E0"/>
    <w:rsid w:val="00047B9B"/>
    <w:rsid w:val="00050365"/>
    <w:rsid w:val="00056A8E"/>
    <w:rsid w:val="000652F5"/>
    <w:rsid w:val="00065A63"/>
    <w:rsid w:val="0008571C"/>
    <w:rsid w:val="0008683B"/>
    <w:rsid w:val="00090BD6"/>
    <w:rsid w:val="000B592E"/>
    <w:rsid w:val="000C2ABE"/>
    <w:rsid w:val="000C5AF2"/>
    <w:rsid w:val="000D1B6D"/>
    <w:rsid w:val="000D7CBC"/>
    <w:rsid w:val="000F3AF6"/>
    <w:rsid w:val="000F5DA0"/>
    <w:rsid w:val="00107EF6"/>
    <w:rsid w:val="00113AF5"/>
    <w:rsid w:val="00156E74"/>
    <w:rsid w:val="00160AD0"/>
    <w:rsid w:val="001645EE"/>
    <w:rsid w:val="00166321"/>
    <w:rsid w:val="00180BCF"/>
    <w:rsid w:val="00187E76"/>
    <w:rsid w:val="0019143A"/>
    <w:rsid w:val="001944D8"/>
    <w:rsid w:val="001B39A3"/>
    <w:rsid w:val="001C38FB"/>
    <w:rsid w:val="001E1CDF"/>
    <w:rsid w:val="001E2230"/>
    <w:rsid w:val="001F2AB0"/>
    <w:rsid w:val="002020C5"/>
    <w:rsid w:val="00205B98"/>
    <w:rsid w:val="00211683"/>
    <w:rsid w:val="00237C19"/>
    <w:rsid w:val="002476A8"/>
    <w:rsid w:val="00266207"/>
    <w:rsid w:val="002755E8"/>
    <w:rsid w:val="002B6FED"/>
    <w:rsid w:val="002C02F3"/>
    <w:rsid w:val="002C204A"/>
    <w:rsid w:val="002C2DF6"/>
    <w:rsid w:val="002D1A7B"/>
    <w:rsid w:val="00307285"/>
    <w:rsid w:val="00307A8E"/>
    <w:rsid w:val="00324D14"/>
    <w:rsid w:val="00325B3B"/>
    <w:rsid w:val="00331CDE"/>
    <w:rsid w:val="00334C92"/>
    <w:rsid w:val="00344305"/>
    <w:rsid w:val="00354079"/>
    <w:rsid w:val="00357436"/>
    <w:rsid w:val="00363AB6"/>
    <w:rsid w:val="0037781F"/>
    <w:rsid w:val="003825F2"/>
    <w:rsid w:val="0038644A"/>
    <w:rsid w:val="0039323B"/>
    <w:rsid w:val="00397F83"/>
    <w:rsid w:val="003A258F"/>
    <w:rsid w:val="003B2189"/>
    <w:rsid w:val="003B58B0"/>
    <w:rsid w:val="003B7457"/>
    <w:rsid w:val="003C1680"/>
    <w:rsid w:val="003C3761"/>
    <w:rsid w:val="003C4FF0"/>
    <w:rsid w:val="003D1C46"/>
    <w:rsid w:val="003D277D"/>
    <w:rsid w:val="003E1182"/>
    <w:rsid w:val="003E70FE"/>
    <w:rsid w:val="00421CF3"/>
    <w:rsid w:val="00441E66"/>
    <w:rsid w:val="00446BFC"/>
    <w:rsid w:val="0049065F"/>
    <w:rsid w:val="00492541"/>
    <w:rsid w:val="004926F0"/>
    <w:rsid w:val="00492F10"/>
    <w:rsid w:val="004A430F"/>
    <w:rsid w:val="004D5A6F"/>
    <w:rsid w:val="004E1DB5"/>
    <w:rsid w:val="004E231B"/>
    <w:rsid w:val="004E299A"/>
    <w:rsid w:val="004E6A5A"/>
    <w:rsid w:val="004F5F7C"/>
    <w:rsid w:val="005115D7"/>
    <w:rsid w:val="00513371"/>
    <w:rsid w:val="00521E25"/>
    <w:rsid w:val="00524DFD"/>
    <w:rsid w:val="00525631"/>
    <w:rsid w:val="00533599"/>
    <w:rsid w:val="005434AC"/>
    <w:rsid w:val="00554CD6"/>
    <w:rsid w:val="0056256B"/>
    <w:rsid w:val="00562738"/>
    <w:rsid w:val="00566432"/>
    <w:rsid w:val="00566A06"/>
    <w:rsid w:val="0057594E"/>
    <w:rsid w:val="00576253"/>
    <w:rsid w:val="005A116B"/>
    <w:rsid w:val="005A3D4D"/>
    <w:rsid w:val="005B2B78"/>
    <w:rsid w:val="005B4F8E"/>
    <w:rsid w:val="005B77E5"/>
    <w:rsid w:val="005C47B8"/>
    <w:rsid w:val="005D31B0"/>
    <w:rsid w:val="005D4F7F"/>
    <w:rsid w:val="005F025E"/>
    <w:rsid w:val="00606697"/>
    <w:rsid w:val="00615710"/>
    <w:rsid w:val="00620002"/>
    <w:rsid w:val="00620624"/>
    <w:rsid w:val="006208EF"/>
    <w:rsid w:val="00641598"/>
    <w:rsid w:val="0065141A"/>
    <w:rsid w:val="00695BDC"/>
    <w:rsid w:val="006B4269"/>
    <w:rsid w:val="006B6F9B"/>
    <w:rsid w:val="006C7B88"/>
    <w:rsid w:val="006C7D46"/>
    <w:rsid w:val="006D27B0"/>
    <w:rsid w:val="006D3E96"/>
    <w:rsid w:val="006E407B"/>
    <w:rsid w:val="006F0D32"/>
    <w:rsid w:val="006F33BF"/>
    <w:rsid w:val="006F6E09"/>
    <w:rsid w:val="00730DC8"/>
    <w:rsid w:val="007443F8"/>
    <w:rsid w:val="007516CA"/>
    <w:rsid w:val="00752707"/>
    <w:rsid w:val="00752ABF"/>
    <w:rsid w:val="00764986"/>
    <w:rsid w:val="007664A7"/>
    <w:rsid w:val="00780011"/>
    <w:rsid w:val="00780841"/>
    <w:rsid w:val="0078547D"/>
    <w:rsid w:val="00786F97"/>
    <w:rsid w:val="007966AD"/>
    <w:rsid w:val="0079704D"/>
    <w:rsid w:val="007A2D6D"/>
    <w:rsid w:val="007A53F2"/>
    <w:rsid w:val="007A587C"/>
    <w:rsid w:val="007B3F2F"/>
    <w:rsid w:val="007C31DB"/>
    <w:rsid w:val="007C607B"/>
    <w:rsid w:val="007C68F8"/>
    <w:rsid w:val="007D6CD1"/>
    <w:rsid w:val="007E5A39"/>
    <w:rsid w:val="007F56A4"/>
    <w:rsid w:val="007F606C"/>
    <w:rsid w:val="00802720"/>
    <w:rsid w:val="00825585"/>
    <w:rsid w:val="00830AE4"/>
    <w:rsid w:val="00833A98"/>
    <w:rsid w:val="008427CC"/>
    <w:rsid w:val="00852020"/>
    <w:rsid w:val="00853268"/>
    <w:rsid w:val="00857FC5"/>
    <w:rsid w:val="00874EFE"/>
    <w:rsid w:val="00875E0B"/>
    <w:rsid w:val="00891FB0"/>
    <w:rsid w:val="0089379D"/>
    <w:rsid w:val="008B04AB"/>
    <w:rsid w:val="008B4C9A"/>
    <w:rsid w:val="008C360F"/>
    <w:rsid w:val="008E0B77"/>
    <w:rsid w:val="008E3CCD"/>
    <w:rsid w:val="008F4045"/>
    <w:rsid w:val="008F77C3"/>
    <w:rsid w:val="0090618F"/>
    <w:rsid w:val="00926560"/>
    <w:rsid w:val="00930FF9"/>
    <w:rsid w:val="0093113B"/>
    <w:rsid w:val="00935966"/>
    <w:rsid w:val="009419FB"/>
    <w:rsid w:val="009535A3"/>
    <w:rsid w:val="00960C4B"/>
    <w:rsid w:val="0096165A"/>
    <w:rsid w:val="009705B6"/>
    <w:rsid w:val="00970716"/>
    <w:rsid w:val="009729DD"/>
    <w:rsid w:val="00975B2F"/>
    <w:rsid w:val="0098075C"/>
    <w:rsid w:val="009869E5"/>
    <w:rsid w:val="00987DA6"/>
    <w:rsid w:val="00991DE8"/>
    <w:rsid w:val="009A3186"/>
    <w:rsid w:val="009A57E2"/>
    <w:rsid w:val="009C5D44"/>
    <w:rsid w:val="009D2E80"/>
    <w:rsid w:val="009E0296"/>
    <w:rsid w:val="009E3C4B"/>
    <w:rsid w:val="009F419B"/>
    <w:rsid w:val="00A055EE"/>
    <w:rsid w:val="00A22F5F"/>
    <w:rsid w:val="00A248E5"/>
    <w:rsid w:val="00A35D90"/>
    <w:rsid w:val="00A45EDE"/>
    <w:rsid w:val="00A53FA7"/>
    <w:rsid w:val="00A54384"/>
    <w:rsid w:val="00A55430"/>
    <w:rsid w:val="00A62CEE"/>
    <w:rsid w:val="00A72B5B"/>
    <w:rsid w:val="00A763B4"/>
    <w:rsid w:val="00A77C3D"/>
    <w:rsid w:val="00A85044"/>
    <w:rsid w:val="00A850A9"/>
    <w:rsid w:val="00A87D66"/>
    <w:rsid w:val="00AA2CEE"/>
    <w:rsid w:val="00AA7C0E"/>
    <w:rsid w:val="00AB3032"/>
    <w:rsid w:val="00AB4EEA"/>
    <w:rsid w:val="00AB67DC"/>
    <w:rsid w:val="00AC714B"/>
    <w:rsid w:val="00AD20DB"/>
    <w:rsid w:val="00AD77F9"/>
    <w:rsid w:val="00AE30DC"/>
    <w:rsid w:val="00AF0A8D"/>
    <w:rsid w:val="00AF133F"/>
    <w:rsid w:val="00AF229D"/>
    <w:rsid w:val="00AF2B23"/>
    <w:rsid w:val="00B13725"/>
    <w:rsid w:val="00B25BCE"/>
    <w:rsid w:val="00B553BC"/>
    <w:rsid w:val="00B736C6"/>
    <w:rsid w:val="00B74A5A"/>
    <w:rsid w:val="00B779E3"/>
    <w:rsid w:val="00B8242B"/>
    <w:rsid w:val="00B90F3D"/>
    <w:rsid w:val="00B923E1"/>
    <w:rsid w:val="00BA591E"/>
    <w:rsid w:val="00BA5B20"/>
    <w:rsid w:val="00BA742E"/>
    <w:rsid w:val="00BC1E31"/>
    <w:rsid w:val="00BC5B66"/>
    <w:rsid w:val="00BD1B17"/>
    <w:rsid w:val="00BE432A"/>
    <w:rsid w:val="00BE571D"/>
    <w:rsid w:val="00BF51DD"/>
    <w:rsid w:val="00C012D3"/>
    <w:rsid w:val="00C068D5"/>
    <w:rsid w:val="00C07D2A"/>
    <w:rsid w:val="00C12BD4"/>
    <w:rsid w:val="00C23708"/>
    <w:rsid w:val="00C23A0B"/>
    <w:rsid w:val="00C36DB0"/>
    <w:rsid w:val="00C37451"/>
    <w:rsid w:val="00C4496A"/>
    <w:rsid w:val="00C75D32"/>
    <w:rsid w:val="00C964A2"/>
    <w:rsid w:val="00CB3217"/>
    <w:rsid w:val="00CC1688"/>
    <w:rsid w:val="00CC25FE"/>
    <w:rsid w:val="00CC4EFF"/>
    <w:rsid w:val="00CE261E"/>
    <w:rsid w:val="00CE2ADB"/>
    <w:rsid w:val="00CE7E83"/>
    <w:rsid w:val="00CF6A36"/>
    <w:rsid w:val="00D11CFD"/>
    <w:rsid w:val="00D1609D"/>
    <w:rsid w:val="00D17059"/>
    <w:rsid w:val="00D20BB4"/>
    <w:rsid w:val="00D246C6"/>
    <w:rsid w:val="00D558A4"/>
    <w:rsid w:val="00D55F3D"/>
    <w:rsid w:val="00D61735"/>
    <w:rsid w:val="00D642BA"/>
    <w:rsid w:val="00DA3C4C"/>
    <w:rsid w:val="00DB1B83"/>
    <w:rsid w:val="00DB1BD1"/>
    <w:rsid w:val="00DD4D27"/>
    <w:rsid w:val="00DF274C"/>
    <w:rsid w:val="00DF5C42"/>
    <w:rsid w:val="00E013ED"/>
    <w:rsid w:val="00E11034"/>
    <w:rsid w:val="00E1501D"/>
    <w:rsid w:val="00E1754E"/>
    <w:rsid w:val="00E213CF"/>
    <w:rsid w:val="00E3275E"/>
    <w:rsid w:val="00E35B00"/>
    <w:rsid w:val="00E64559"/>
    <w:rsid w:val="00E65CC0"/>
    <w:rsid w:val="00E67A76"/>
    <w:rsid w:val="00E7216D"/>
    <w:rsid w:val="00E75E86"/>
    <w:rsid w:val="00E8187D"/>
    <w:rsid w:val="00E845E2"/>
    <w:rsid w:val="00E87F13"/>
    <w:rsid w:val="00EB0464"/>
    <w:rsid w:val="00EC0B54"/>
    <w:rsid w:val="00EC2D6B"/>
    <w:rsid w:val="00EF25E4"/>
    <w:rsid w:val="00EF5D08"/>
    <w:rsid w:val="00F0021D"/>
    <w:rsid w:val="00F06D47"/>
    <w:rsid w:val="00F16CE6"/>
    <w:rsid w:val="00F21215"/>
    <w:rsid w:val="00F2355C"/>
    <w:rsid w:val="00F3064B"/>
    <w:rsid w:val="00F30FC3"/>
    <w:rsid w:val="00F439D0"/>
    <w:rsid w:val="00F50661"/>
    <w:rsid w:val="00F50CE4"/>
    <w:rsid w:val="00F61CD7"/>
    <w:rsid w:val="00F76892"/>
    <w:rsid w:val="00F92B04"/>
    <w:rsid w:val="00FB0D3A"/>
    <w:rsid w:val="00FB311E"/>
    <w:rsid w:val="00FB3CAD"/>
    <w:rsid w:val="00FC3842"/>
    <w:rsid w:val="00FD407B"/>
    <w:rsid w:val="00FE2DD8"/>
    <w:rsid w:val="00FF3D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link w:val="Heading1Char"/>
    <w:qFormat/>
    <w:pPr>
      <w:keepNext/>
      <w:outlineLvl w:val="0"/>
    </w:pPr>
    <w:rPr>
      <w:rFonts w:ascii="Arial Narrow" w:hAnsi="Arial Narrow"/>
      <w:sz w:val="4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ascii="Arial Narrow" w:hAnsi="Arial Narrow"/>
      <w:b/>
      <w:bCs/>
      <w:u w:val="single"/>
    </w:rPr>
  </w:style>
  <w:style w:type="paragraph" w:styleId="Heading4">
    <w:name w:val="heading 4"/>
    <w:basedOn w:val="Normal"/>
    <w:next w:val="Normal"/>
    <w:qFormat/>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BE571D"/>
    <w:rPr>
      <w:rFonts w:ascii="Arial Narrow" w:hAnsi="Arial Narrow"/>
      <w:sz w:val="40"/>
      <w:szCs w:val="24"/>
      <w:lang w:val="en-CA"/>
    </w:rPr>
  </w:style>
  <w:style w:type="character" w:styleId="Hyperlink">
    <w:name w:val="Hyperlink"/>
    <w:uiPriority w:val="99"/>
    <w:unhideWhenUsed/>
    <w:rsid w:val="006F6E09"/>
    <w:rPr>
      <w:color w:val="0000FF"/>
      <w:u w:val="single"/>
    </w:rPr>
  </w:style>
  <w:style w:type="paragraph" w:styleId="BalloonText">
    <w:name w:val="Balloon Text"/>
    <w:basedOn w:val="Normal"/>
    <w:link w:val="BalloonTextChar"/>
    <w:uiPriority w:val="99"/>
    <w:semiHidden/>
    <w:unhideWhenUsed/>
    <w:rsid w:val="00F50CE4"/>
    <w:rPr>
      <w:rFonts w:ascii="Tahoma" w:hAnsi="Tahoma" w:cs="Tahoma"/>
      <w:sz w:val="16"/>
      <w:szCs w:val="16"/>
    </w:rPr>
  </w:style>
  <w:style w:type="character" w:customStyle="1" w:styleId="BalloonTextChar">
    <w:name w:val="Balloon Text Char"/>
    <w:link w:val="BalloonText"/>
    <w:uiPriority w:val="99"/>
    <w:semiHidden/>
    <w:rsid w:val="00F50CE4"/>
    <w:rPr>
      <w:rFonts w:ascii="Tahoma" w:hAnsi="Tahoma" w:cs="Tahoma"/>
      <w:sz w:val="16"/>
      <w:szCs w:val="16"/>
      <w:lang w:eastAsia="en-US"/>
    </w:rPr>
  </w:style>
  <w:style w:type="character" w:customStyle="1" w:styleId="FooterChar">
    <w:name w:val="Footer Char"/>
    <w:link w:val="Footer"/>
    <w:uiPriority w:val="99"/>
    <w:rsid w:val="009729DD"/>
    <w:rPr>
      <w:szCs w:val="24"/>
    </w:rPr>
  </w:style>
  <w:style w:type="table" w:styleId="TableGrid">
    <w:name w:val="Table Grid"/>
    <w:basedOn w:val="TableNormal"/>
    <w:uiPriority w:val="59"/>
    <w:rsid w:val="00BA5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35B00"/>
    <w:rPr>
      <w:szCs w:val="24"/>
    </w:rPr>
  </w:style>
  <w:style w:type="paragraph" w:styleId="ListParagraph">
    <w:name w:val="List Paragraph"/>
    <w:basedOn w:val="Normal"/>
    <w:uiPriority w:val="34"/>
    <w:qFormat/>
    <w:rsid w:val="00E845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link w:val="Heading1Char"/>
    <w:qFormat/>
    <w:pPr>
      <w:keepNext/>
      <w:outlineLvl w:val="0"/>
    </w:pPr>
    <w:rPr>
      <w:rFonts w:ascii="Arial Narrow" w:hAnsi="Arial Narrow"/>
      <w:sz w:val="4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ascii="Arial Narrow" w:hAnsi="Arial Narrow"/>
      <w:b/>
      <w:bCs/>
      <w:u w:val="single"/>
    </w:rPr>
  </w:style>
  <w:style w:type="paragraph" w:styleId="Heading4">
    <w:name w:val="heading 4"/>
    <w:basedOn w:val="Normal"/>
    <w:next w:val="Normal"/>
    <w:qFormat/>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BE571D"/>
    <w:rPr>
      <w:rFonts w:ascii="Arial Narrow" w:hAnsi="Arial Narrow"/>
      <w:sz w:val="40"/>
      <w:szCs w:val="24"/>
      <w:lang w:val="en-CA"/>
    </w:rPr>
  </w:style>
  <w:style w:type="character" w:styleId="Hyperlink">
    <w:name w:val="Hyperlink"/>
    <w:uiPriority w:val="99"/>
    <w:unhideWhenUsed/>
    <w:rsid w:val="006F6E09"/>
    <w:rPr>
      <w:color w:val="0000FF"/>
      <w:u w:val="single"/>
    </w:rPr>
  </w:style>
  <w:style w:type="paragraph" w:styleId="BalloonText">
    <w:name w:val="Balloon Text"/>
    <w:basedOn w:val="Normal"/>
    <w:link w:val="BalloonTextChar"/>
    <w:uiPriority w:val="99"/>
    <w:semiHidden/>
    <w:unhideWhenUsed/>
    <w:rsid w:val="00F50CE4"/>
    <w:rPr>
      <w:rFonts w:ascii="Tahoma" w:hAnsi="Tahoma" w:cs="Tahoma"/>
      <w:sz w:val="16"/>
      <w:szCs w:val="16"/>
    </w:rPr>
  </w:style>
  <w:style w:type="character" w:customStyle="1" w:styleId="BalloonTextChar">
    <w:name w:val="Balloon Text Char"/>
    <w:link w:val="BalloonText"/>
    <w:uiPriority w:val="99"/>
    <w:semiHidden/>
    <w:rsid w:val="00F50CE4"/>
    <w:rPr>
      <w:rFonts w:ascii="Tahoma" w:hAnsi="Tahoma" w:cs="Tahoma"/>
      <w:sz w:val="16"/>
      <w:szCs w:val="16"/>
      <w:lang w:eastAsia="en-US"/>
    </w:rPr>
  </w:style>
  <w:style w:type="character" w:customStyle="1" w:styleId="FooterChar">
    <w:name w:val="Footer Char"/>
    <w:link w:val="Footer"/>
    <w:uiPriority w:val="99"/>
    <w:rsid w:val="009729DD"/>
    <w:rPr>
      <w:szCs w:val="24"/>
    </w:rPr>
  </w:style>
  <w:style w:type="table" w:styleId="TableGrid">
    <w:name w:val="Table Grid"/>
    <w:basedOn w:val="TableNormal"/>
    <w:uiPriority w:val="59"/>
    <w:rsid w:val="00BA5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35B00"/>
    <w:rPr>
      <w:szCs w:val="24"/>
    </w:rPr>
  </w:style>
  <w:style w:type="paragraph" w:styleId="ListParagraph">
    <w:name w:val="List Paragraph"/>
    <w:basedOn w:val="Normal"/>
    <w:uiPriority w:val="34"/>
    <w:qFormat/>
    <w:rsid w:val="00E84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05412-59BE-48AC-A861-E8B1E1B0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1901</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Penal Negligence vs. Regulatory Offences</vt:lpstr>
    </vt:vector>
  </TitlesOfParts>
  <Company>Hewlett-Packard Company</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 Negligence vs. Regulatory Offences</dc:title>
  <dc:creator>Patricia E. Spencer</dc:creator>
  <cp:lastModifiedBy>Sue Hathaway</cp:lastModifiedBy>
  <cp:revision>2</cp:revision>
  <cp:lastPrinted>2017-07-06T16:35:00Z</cp:lastPrinted>
  <dcterms:created xsi:type="dcterms:W3CDTF">2017-09-05T22:08:00Z</dcterms:created>
  <dcterms:modified xsi:type="dcterms:W3CDTF">2017-09-05T22:08:00Z</dcterms:modified>
</cp:coreProperties>
</file>